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8CBE" w14:textId="77777777" w:rsidR="00412D1B" w:rsidRDefault="009A5BFE" w:rsidP="00DC6F8A">
      <w:pPr>
        <w:pStyle w:val="Heading4"/>
        <w:jc w:val="center"/>
        <w:rPr>
          <w:rFonts w:ascii="Calibri" w:hAnsi="Calibri"/>
          <w:b w:val="0"/>
          <w:bCs w:val="0"/>
          <w:color w:val="FF0000"/>
          <w:sz w:val="22"/>
          <w:szCs w:val="22"/>
        </w:rPr>
      </w:pPr>
      <w:r>
        <w:object w:dxaOrig="3600" w:dyaOrig="3465" w14:anchorId="146A8A57">
          <v:rect id="_x0000_i1025" style="width:76pt;height:73pt;mso-left-percent:-10001;mso-top-percent:-10001;mso-position-horizontal:absolute;mso-position-horizontal-relative:char;mso-position-vertical:absolute;mso-position-vertical-relative:line;mso-left-percent:-10001;mso-top-percent:-10001" o:ole="" o:preferrelative="t" stroked="f">
            <v:imagedata r:id="rId5" o:title=""/>
          </v:rect>
          <o:OLEObject Type="Embed" ProgID="StaticMetafile" ShapeID="_x0000_i1025" DrawAspect="Content" ObjectID="_1798113892" r:id="rId6"/>
        </w:object>
      </w:r>
    </w:p>
    <w:p w14:paraId="148048A4" w14:textId="77777777" w:rsidR="00412D1B" w:rsidRPr="006E3E35" w:rsidRDefault="00412D1B" w:rsidP="00412D1B">
      <w:pPr>
        <w:outlineLvl w:val="0"/>
        <w:rPr>
          <w:rFonts w:ascii="Calibri" w:hAnsi="Calibri"/>
          <w:b/>
          <w:color w:val="FF0000"/>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7934"/>
      </w:tblGrid>
      <w:tr w:rsidR="00496F80" w:rsidRPr="00AE4B11" w14:paraId="6CA125DF" w14:textId="77777777" w:rsidTr="00DB10E4">
        <w:tc>
          <w:tcPr>
            <w:tcW w:w="2840" w:type="dxa"/>
          </w:tcPr>
          <w:p w14:paraId="032BDCCD" w14:textId="2AE0A67C" w:rsidR="00496F80" w:rsidRPr="00AE4B11" w:rsidRDefault="00496F80" w:rsidP="009A5BFE">
            <w:pPr>
              <w:jc w:val="both"/>
              <w:rPr>
                <w:rFonts w:asciiTheme="minorHAnsi" w:hAnsiTheme="minorHAnsi" w:cstheme="minorHAnsi"/>
                <w:b/>
                <w:bCs/>
                <w:sz w:val="24"/>
                <w:szCs w:val="24"/>
              </w:rPr>
            </w:pPr>
            <w:r w:rsidRPr="00AE4B11">
              <w:rPr>
                <w:rFonts w:asciiTheme="minorHAnsi" w:hAnsiTheme="minorHAnsi" w:cstheme="minorHAnsi"/>
                <w:b/>
                <w:bCs/>
                <w:sz w:val="24"/>
                <w:szCs w:val="24"/>
              </w:rPr>
              <w:t>Post Title</w:t>
            </w:r>
          </w:p>
        </w:tc>
        <w:tc>
          <w:tcPr>
            <w:tcW w:w="7934" w:type="dxa"/>
          </w:tcPr>
          <w:p w14:paraId="7D36C62F" w14:textId="77777777" w:rsidR="00496F80" w:rsidRDefault="00496F80" w:rsidP="00496F80">
            <w:pPr>
              <w:pStyle w:val="DefaultText"/>
              <w:rPr>
                <w:rFonts w:asciiTheme="minorHAnsi" w:hAnsiTheme="minorHAnsi" w:cstheme="minorHAnsi"/>
                <w:szCs w:val="24"/>
              </w:rPr>
            </w:pPr>
            <w:r w:rsidRPr="00FA67E3">
              <w:rPr>
                <w:rFonts w:asciiTheme="minorHAnsi" w:hAnsiTheme="minorHAnsi" w:cstheme="minorHAnsi"/>
                <w:b/>
                <w:bCs/>
                <w:szCs w:val="24"/>
              </w:rPr>
              <w:t>Consultant Physician in Genitourinary Medicine</w:t>
            </w:r>
            <w:r w:rsidRPr="00AE4B11">
              <w:rPr>
                <w:rFonts w:asciiTheme="minorHAnsi" w:hAnsiTheme="minorHAnsi" w:cstheme="minorHAnsi"/>
                <w:szCs w:val="24"/>
              </w:rPr>
              <w:t xml:space="preserve">. </w:t>
            </w:r>
          </w:p>
          <w:p w14:paraId="44C24A17" w14:textId="77777777" w:rsidR="00496F80" w:rsidRPr="00AE4B11" w:rsidRDefault="00496F80" w:rsidP="00A517E4">
            <w:pPr>
              <w:pStyle w:val="DefaultText"/>
              <w:rPr>
                <w:rFonts w:asciiTheme="minorHAnsi" w:hAnsiTheme="minorHAnsi" w:cstheme="minorHAnsi"/>
                <w:szCs w:val="24"/>
              </w:rPr>
            </w:pPr>
          </w:p>
        </w:tc>
      </w:tr>
      <w:tr w:rsidR="00412D1B" w:rsidRPr="00AE4B11" w14:paraId="3A43FD8F" w14:textId="77777777" w:rsidTr="00DB10E4">
        <w:tc>
          <w:tcPr>
            <w:tcW w:w="2840" w:type="dxa"/>
          </w:tcPr>
          <w:p w14:paraId="186F798C" w14:textId="110C92C1" w:rsidR="00412D1B" w:rsidRPr="00AE4B11" w:rsidRDefault="00496F80" w:rsidP="009A5BFE">
            <w:pPr>
              <w:jc w:val="both"/>
              <w:rPr>
                <w:rFonts w:asciiTheme="minorHAnsi" w:hAnsiTheme="minorHAnsi" w:cstheme="minorHAnsi"/>
                <w:b/>
                <w:bCs/>
                <w:sz w:val="24"/>
                <w:szCs w:val="24"/>
              </w:rPr>
            </w:pPr>
            <w:r>
              <w:rPr>
                <w:rFonts w:asciiTheme="minorHAnsi" w:hAnsiTheme="minorHAnsi" w:cstheme="minorHAnsi"/>
                <w:b/>
                <w:bCs/>
                <w:sz w:val="24"/>
                <w:szCs w:val="24"/>
              </w:rPr>
              <w:t>Details of post</w:t>
            </w:r>
          </w:p>
        </w:tc>
        <w:tc>
          <w:tcPr>
            <w:tcW w:w="7934" w:type="dxa"/>
          </w:tcPr>
          <w:p w14:paraId="55A558D7" w14:textId="6740A504" w:rsidR="00FA67E3" w:rsidRDefault="005A2153" w:rsidP="00A517E4">
            <w:pPr>
              <w:pStyle w:val="DefaultText"/>
              <w:rPr>
                <w:rFonts w:asciiTheme="minorHAnsi" w:hAnsiTheme="minorHAnsi" w:cstheme="minorHAnsi"/>
                <w:szCs w:val="24"/>
              </w:rPr>
            </w:pPr>
            <w:r w:rsidRPr="00AE4B11">
              <w:rPr>
                <w:rFonts w:asciiTheme="minorHAnsi" w:hAnsiTheme="minorHAnsi" w:cstheme="minorHAnsi"/>
                <w:szCs w:val="24"/>
              </w:rPr>
              <w:t xml:space="preserve">The </w:t>
            </w:r>
            <w:r w:rsidR="009A5BFE" w:rsidRPr="00AE4B11">
              <w:rPr>
                <w:rFonts w:asciiTheme="minorHAnsi" w:hAnsiTheme="minorHAnsi" w:cstheme="minorHAnsi"/>
                <w:szCs w:val="24"/>
              </w:rPr>
              <w:t>Gay M</w:t>
            </w:r>
            <w:r w:rsidR="00D36997" w:rsidRPr="00AE4B11">
              <w:rPr>
                <w:rFonts w:asciiTheme="minorHAnsi" w:hAnsiTheme="minorHAnsi" w:cstheme="minorHAnsi"/>
                <w:szCs w:val="24"/>
              </w:rPr>
              <w:t>e</w:t>
            </w:r>
            <w:r w:rsidR="009A5BFE" w:rsidRPr="00AE4B11">
              <w:rPr>
                <w:rFonts w:asciiTheme="minorHAnsi" w:hAnsiTheme="minorHAnsi" w:cstheme="minorHAnsi"/>
                <w:szCs w:val="24"/>
              </w:rPr>
              <w:t>n</w:t>
            </w:r>
            <w:r w:rsidR="00D36997" w:rsidRPr="00AE4B11">
              <w:rPr>
                <w:rFonts w:asciiTheme="minorHAnsi" w:hAnsiTheme="minorHAnsi" w:cstheme="minorHAnsi"/>
                <w:szCs w:val="24"/>
              </w:rPr>
              <w:t>’</w:t>
            </w:r>
            <w:r w:rsidR="009A5BFE" w:rsidRPr="00AE4B11">
              <w:rPr>
                <w:rFonts w:asciiTheme="minorHAnsi" w:hAnsiTheme="minorHAnsi" w:cstheme="minorHAnsi"/>
                <w:szCs w:val="24"/>
              </w:rPr>
              <w:t>s Health Service</w:t>
            </w:r>
            <w:r w:rsidR="007726E1" w:rsidRPr="00AE4B11">
              <w:rPr>
                <w:rFonts w:asciiTheme="minorHAnsi" w:hAnsiTheme="minorHAnsi" w:cstheme="minorHAnsi"/>
                <w:szCs w:val="24"/>
              </w:rPr>
              <w:t xml:space="preserve"> </w:t>
            </w:r>
            <w:r w:rsidR="00D36997" w:rsidRPr="00AE4B11">
              <w:rPr>
                <w:rFonts w:asciiTheme="minorHAnsi" w:hAnsiTheme="minorHAnsi" w:cstheme="minorHAnsi"/>
                <w:szCs w:val="24"/>
              </w:rPr>
              <w:t>(GMHS)</w:t>
            </w:r>
            <w:r w:rsidR="009A5BFE" w:rsidRPr="00AE4B11">
              <w:rPr>
                <w:rFonts w:asciiTheme="minorHAnsi" w:hAnsiTheme="minorHAnsi" w:cstheme="minorHAnsi"/>
                <w:szCs w:val="24"/>
              </w:rPr>
              <w:t xml:space="preserve"> </w:t>
            </w:r>
            <w:r w:rsidR="00791E25" w:rsidRPr="00AE4B11">
              <w:rPr>
                <w:rFonts w:asciiTheme="minorHAnsi" w:hAnsiTheme="minorHAnsi" w:cstheme="minorHAnsi"/>
                <w:szCs w:val="24"/>
              </w:rPr>
              <w:t xml:space="preserve">located </w:t>
            </w:r>
            <w:r w:rsidR="002428BF" w:rsidRPr="00AE4B11">
              <w:rPr>
                <w:rFonts w:asciiTheme="minorHAnsi" w:hAnsiTheme="minorHAnsi" w:cstheme="minorHAnsi"/>
                <w:szCs w:val="24"/>
              </w:rPr>
              <w:t xml:space="preserve">in the </w:t>
            </w:r>
            <w:proofErr w:type="spellStart"/>
            <w:r w:rsidR="002428BF" w:rsidRPr="00AE4B11">
              <w:rPr>
                <w:rFonts w:asciiTheme="minorHAnsi" w:hAnsiTheme="minorHAnsi" w:cstheme="minorHAnsi"/>
                <w:szCs w:val="24"/>
              </w:rPr>
              <w:t>Meath</w:t>
            </w:r>
            <w:proofErr w:type="spellEnd"/>
            <w:r w:rsidR="002428BF" w:rsidRPr="00AE4B11">
              <w:rPr>
                <w:rFonts w:asciiTheme="minorHAnsi" w:hAnsiTheme="minorHAnsi" w:cstheme="minorHAnsi"/>
                <w:szCs w:val="24"/>
              </w:rPr>
              <w:t xml:space="preserve"> Primary Care Centre</w:t>
            </w:r>
            <w:r w:rsidR="00791E25" w:rsidRPr="00AE4B11">
              <w:rPr>
                <w:rFonts w:asciiTheme="minorHAnsi" w:hAnsiTheme="minorHAnsi" w:cstheme="minorHAnsi"/>
                <w:szCs w:val="24"/>
              </w:rPr>
              <w:t xml:space="preserve"> </w:t>
            </w:r>
            <w:r w:rsidR="009A5BFE" w:rsidRPr="00AE4B11">
              <w:rPr>
                <w:rFonts w:asciiTheme="minorHAnsi" w:hAnsiTheme="minorHAnsi" w:cstheme="minorHAnsi"/>
                <w:szCs w:val="24"/>
              </w:rPr>
              <w:t xml:space="preserve">(CHO 6) and the </w:t>
            </w:r>
            <w:r w:rsidRPr="00AE4B11">
              <w:rPr>
                <w:rFonts w:asciiTheme="minorHAnsi" w:hAnsiTheme="minorHAnsi" w:cstheme="minorHAnsi"/>
                <w:szCs w:val="24"/>
              </w:rPr>
              <w:t xml:space="preserve">Department of Genitourinary Medicine &amp; Infectious Diseases (GUIDE) </w:t>
            </w:r>
            <w:r w:rsidR="007726E1" w:rsidRPr="00AE4B11">
              <w:rPr>
                <w:rFonts w:asciiTheme="minorHAnsi" w:hAnsiTheme="minorHAnsi" w:cstheme="minorHAnsi"/>
                <w:szCs w:val="24"/>
              </w:rPr>
              <w:t xml:space="preserve">at St James’s Hospital </w:t>
            </w:r>
            <w:r w:rsidRPr="00AE4B11">
              <w:rPr>
                <w:rFonts w:asciiTheme="minorHAnsi" w:hAnsiTheme="minorHAnsi" w:cstheme="minorHAnsi"/>
                <w:szCs w:val="24"/>
              </w:rPr>
              <w:t>currently have a vacancy at</w:t>
            </w:r>
            <w:r w:rsidR="00A517E4" w:rsidRPr="00AE4B11">
              <w:rPr>
                <w:rFonts w:asciiTheme="minorHAnsi" w:hAnsiTheme="minorHAnsi" w:cstheme="minorHAnsi"/>
                <w:szCs w:val="24"/>
              </w:rPr>
              <w:t xml:space="preserve"> </w:t>
            </w:r>
            <w:r w:rsidR="006C1EAA" w:rsidRPr="00AE4B11">
              <w:rPr>
                <w:rFonts w:asciiTheme="minorHAnsi" w:hAnsiTheme="minorHAnsi" w:cstheme="minorHAnsi"/>
                <w:szCs w:val="24"/>
              </w:rPr>
              <w:t xml:space="preserve">for a </w:t>
            </w:r>
            <w:r w:rsidR="00000A77" w:rsidRPr="00FA67E3">
              <w:rPr>
                <w:rFonts w:asciiTheme="minorHAnsi" w:hAnsiTheme="minorHAnsi" w:cstheme="minorHAnsi"/>
                <w:b/>
                <w:bCs/>
                <w:szCs w:val="24"/>
              </w:rPr>
              <w:t>Consultant Physician in Genitourinary Medicine</w:t>
            </w:r>
            <w:r w:rsidR="00000A77" w:rsidRPr="00AE4B11">
              <w:rPr>
                <w:rFonts w:asciiTheme="minorHAnsi" w:hAnsiTheme="minorHAnsi" w:cstheme="minorHAnsi"/>
                <w:szCs w:val="24"/>
              </w:rPr>
              <w:t xml:space="preserve">. </w:t>
            </w:r>
          </w:p>
          <w:p w14:paraId="4299880E" w14:textId="77777777" w:rsidR="00496F80" w:rsidRDefault="00496F80" w:rsidP="00A517E4">
            <w:pPr>
              <w:pStyle w:val="DefaultText"/>
              <w:rPr>
                <w:rFonts w:asciiTheme="minorHAnsi" w:hAnsiTheme="minorHAnsi" w:cstheme="minorHAnsi"/>
                <w:b/>
                <w:bCs/>
                <w:szCs w:val="24"/>
              </w:rPr>
            </w:pPr>
          </w:p>
          <w:p w14:paraId="466A73F1" w14:textId="2A66BE26" w:rsidR="00412D1B" w:rsidRPr="00496F80" w:rsidRDefault="00A517E4" w:rsidP="00A517E4">
            <w:pPr>
              <w:pStyle w:val="DefaultText"/>
              <w:rPr>
                <w:rFonts w:asciiTheme="minorHAnsi" w:hAnsiTheme="minorHAnsi" w:cstheme="minorHAnsi"/>
                <w:b/>
                <w:bCs/>
                <w:szCs w:val="24"/>
              </w:rPr>
            </w:pPr>
            <w:r w:rsidRPr="00496F80">
              <w:rPr>
                <w:rFonts w:asciiTheme="minorHAnsi" w:hAnsiTheme="minorHAnsi" w:cstheme="minorHAnsi"/>
                <w:b/>
                <w:bCs/>
                <w:szCs w:val="24"/>
              </w:rPr>
              <w:t xml:space="preserve">Applications will be considered from eligible candidates who hold </w:t>
            </w:r>
            <w:r w:rsidR="003F20B5" w:rsidRPr="00496F80">
              <w:rPr>
                <w:rFonts w:asciiTheme="minorHAnsi" w:hAnsiTheme="minorHAnsi" w:cstheme="minorHAnsi"/>
                <w:b/>
                <w:bCs/>
                <w:szCs w:val="24"/>
              </w:rPr>
              <w:t xml:space="preserve">relevant </w:t>
            </w:r>
            <w:r w:rsidRPr="00496F80">
              <w:rPr>
                <w:rFonts w:asciiTheme="minorHAnsi" w:hAnsiTheme="minorHAnsi" w:cstheme="minorHAnsi"/>
                <w:b/>
                <w:bCs/>
                <w:szCs w:val="24"/>
              </w:rPr>
              <w:t>specialist registration in either Genitourinary Medicine or Infectious Diseases</w:t>
            </w:r>
            <w:r w:rsidR="007726E1" w:rsidRPr="00496F80">
              <w:rPr>
                <w:rFonts w:asciiTheme="minorHAnsi" w:hAnsiTheme="minorHAnsi" w:cstheme="minorHAnsi"/>
                <w:b/>
                <w:bCs/>
                <w:szCs w:val="24"/>
              </w:rPr>
              <w:t>.</w:t>
            </w:r>
          </w:p>
          <w:p w14:paraId="0796ABA8" w14:textId="72E8B5C3" w:rsidR="00BC55ED" w:rsidRPr="00AE4B11" w:rsidRDefault="00BC55ED" w:rsidP="00A517E4">
            <w:pPr>
              <w:pStyle w:val="DefaultText"/>
              <w:rPr>
                <w:rFonts w:asciiTheme="minorHAnsi" w:hAnsiTheme="minorHAnsi" w:cstheme="minorHAnsi"/>
                <w:iCs/>
                <w:color w:val="002060"/>
                <w:szCs w:val="24"/>
              </w:rPr>
            </w:pPr>
          </w:p>
        </w:tc>
      </w:tr>
      <w:tr w:rsidR="00412D1B" w:rsidRPr="00AE4B11" w14:paraId="7F0C1AF5" w14:textId="77777777" w:rsidTr="00DB10E4">
        <w:tc>
          <w:tcPr>
            <w:tcW w:w="2840" w:type="dxa"/>
          </w:tcPr>
          <w:p w14:paraId="0FEC2CDE" w14:textId="77777777" w:rsidR="00412D1B" w:rsidRPr="00AE4B11" w:rsidRDefault="00412D1B" w:rsidP="009A5BFE">
            <w:pPr>
              <w:jc w:val="both"/>
              <w:rPr>
                <w:rFonts w:asciiTheme="minorHAnsi" w:hAnsiTheme="minorHAnsi" w:cstheme="minorHAnsi"/>
                <w:b/>
                <w:bCs/>
                <w:sz w:val="24"/>
                <w:szCs w:val="24"/>
              </w:rPr>
            </w:pPr>
            <w:r w:rsidRPr="00AE4B11">
              <w:rPr>
                <w:rFonts w:asciiTheme="minorHAnsi" w:hAnsiTheme="minorHAnsi" w:cstheme="minorHAnsi"/>
                <w:b/>
                <w:bCs/>
                <w:sz w:val="24"/>
                <w:szCs w:val="24"/>
              </w:rPr>
              <w:t>Tenure</w:t>
            </w:r>
          </w:p>
        </w:tc>
        <w:tc>
          <w:tcPr>
            <w:tcW w:w="7934" w:type="dxa"/>
          </w:tcPr>
          <w:p w14:paraId="62053B06" w14:textId="77777777" w:rsidR="00004D3D" w:rsidRDefault="00096E18" w:rsidP="00BB1DEA">
            <w:pPr>
              <w:rPr>
                <w:rFonts w:asciiTheme="minorHAnsi" w:hAnsiTheme="minorHAnsi" w:cstheme="minorHAnsi"/>
                <w:iCs/>
                <w:sz w:val="24"/>
                <w:szCs w:val="24"/>
              </w:rPr>
            </w:pPr>
            <w:r w:rsidRPr="00AE4B11">
              <w:rPr>
                <w:rFonts w:asciiTheme="minorHAnsi" w:hAnsiTheme="minorHAnsi" w:cstheme="minorHAnsi"/>
                <w:iCs/>
                <w:sz w:val="24"/>
                <w:szCs w:val="24"/>
              </w:rPr>
              <w:t>This is a</w:t>
            </w:r>
            <w:r w:rsidR="00412D1B" w:rsidRPr="00AE4B11">
              <w:rPr>
                <w:rFonts w:asciiTheme="minorHAnsi" w:hAnsiTheme="minorHAnsi" w:cstheme="minorHAnsi"/>
                <w:iCs/>
                <w:sz w:val="24"/>
                <w:szCs w:val="24"/>
              </w:rPr>
              <w:t xml:space="preserve"> </w:t>
            </w:r>
            <w:r w:rsidR="008F06A1" w:rsidRPr="00AE4B11">
              <w:rPr>
                <w:rFonts w:asciiTheme="minorHAnsi" w:hAnsiTheme="minorHAnsi" w:cstheme="minorHAnsi"/>
                <w:iCs/>
                <w:sz w:val="24"/>
                <w:szCs w:val="24"/>
              </w:rPr>
              <w:t xml:space="preserve">permanent </w:t>
            </w:r>
            <w:r w:rsidR="00F40247" w:rsidRPr="00AE4B11">
              <w:rPr>
                <w:rFonts w:asciiTheme="minorHAnsi" w:hAnsiTheme="minorHAnsi" w:cstheme="minorHAnsi"/>
                <w:iCs/>
                <w:sz w:val="24"/>
                <w:szCs w:val="24"/>
              </w:rPr>
              <w:t xml:space="preserve">full-time </w:t>
            </w:r>
            <w:r w:rsidR="00412D1B" w:rsidRPr="00AE4B11">
              <w:rPr>
                <w:rFonts w:asciiTheme="minorHAnsi" w:hAnsiTheme="minorHAnsi" w:cstheme="minorHAnsi"/>
                <w:iCs/>
                <w:sz w:val="24"/>
                <w:szCs w:val="24"/>
              </w:rPr>
              <w:t xml:space="preserve">vacancy </w:t>
            </w:r>
            <w:r w:rsidRPr="00AE4B11">
              <w:rPr>
                <w:rFonts w:asciiTheme="minorHAnsi" w:hAnsiTheme="minorHAnsi" w:cstheme="minorHAnsi"/>
                <w:iCs/>
                <w:sz w:val="24"/>
                <w:szCs w:val="24"/>
              </w:rPr>
              <w:t xml:space="preserve">available </w:t>
            </w:r>
            <w:r w:rsidR="007726E1" w:rsidRPr="00AE4B11">
              <w:rPr>
                <w:rFonts w:asciiTheme="minorHAnsi" w:hAnsiTheme="minorHAnsi" w:cstheme="minorHAnsi"/>
                <w:iCs/>
                <w:sz w:val="24"/>
                <w:szCs w:val="24"/>
              </w:rPr>
              <w:t>from 1</w:t>
            </w:r>
            <w:r w:rsidR="007726E1" w:rsidRPr="00AE4B11">
              <w:rPr>
                <w:rFonts w:asciiTheme="minorHAnsi" w:hAnsiTheme="minorHAnsi" w:cstheme="minorHAnsi"/>
                <w:iCs/>
                <w:sz w:val="24"/>
                <w:szCs w:val="24"/>
                <w:vertAlign w:val="superscript"/>
              </w:rPr>
              <w:t>st</w:t>
            </w:r>
            <w:r w:rsidR="007726E1" w:rsidRPr="00AE4B11">
              <w:rPr>
                <w:rFonts w:asciiTheme="minorHAnsi" w:hAnsiTheme="minorHAnsi" w:cstheme="minorHAnsi"/>
                <w:iCs/>
                <w:sz w:val="24"/>
                <w:szCs w:val="24"/>
              </w:rPr>
              <w:t xml:space="preserve"> May 2025</w:t>
            </w:r>
            <w:r w:rsidR="008F06A1" w:rsidRPr="00AE4B11">
              <w:rPr>
                <w:rFonts w:asciiTheme="minorHAnsi" w:hAnsiTheme="minorHAnsi" w:cstheme="minorHAnsi"/>
                <w:iCs/>
                <w:sz w:val="24"/>
                <w:szCs w:val="24"/>
              </w:rPr>
              <w:t>. The appointee will work 3</w:t>
            </w:r>
            <w:r w:rsidR="002428BF" w:rsidRPr="00AE4B11">
              <w:rPr>
                <w:rFonts w:asciiTheme="minorHAnsi" w:hAnsiTheme="minorHAnsi" w:cstheme="minorHAnsi"/>
                <w:iCs/>
                <w:sz w:val="24"/>
                <w:szCs w:val="24"/>
              </w:rPr>
              <w:t>7</w:t>
            </w:r>
            <w:r w:rsidR="008F06A1" w:rsidRPr="00AE4B11">
              <w:rPr>
                <w:rFonts w:asciiTheme="minorHAnsi" w:hAnsiTheme="minorHAnsi" w:cstheme="minorHAnsi"/>
                <w:iCs/>
                <w:sz w:val="24"/>
                <w:szCs w:val="24"/>
              </w:rPr>
              <w:t xml:space="preserve"> </w:t>
            </w:r>
            <w:r w:rsidR="00BB1DEA" w:rsidRPr="00AE4B11">
              <w:rPr>
                <w:rFonts w:asciiTheme="minorHAnsi" w:hAnsiTheme="minorHAnsi" w:cstheme="minorHAnsi"/>
                <w:iCs/>
                <w:sz w:val="24"/>
                <w:szCs w:val="24"/>
              </w:rPr>
              <w:t>per week</w:t>
            </w:r>
            <w:r w:rsidR="00F40247" w:rsidRPr="00AE4B11">
              <w:rPr>
                <w:rFonts w:asciiTheme="minorHAnsi" w:hAnsiTheme="minorHAnsi" w:cstheme="minorHAnsi"/>
                <w:iCs/>
                <w:sz w:val="24"/>
                <w:szCs w:val="24"/>
              </w:rPr>
              <w:t xml:space="preserve"> in line with the </w:t>
            </w:r>
            <w:r w:rsidR="007726E1" w:rsidRPr="00AE4B11">
              <w:rPr>
                <w:rFonts w:asciiTheme="minorHAnsi" w:hAnsiTheme="minorHAnsi" w:cstheme="minorHAnsi"/>
                <w:iCs/>
                <w:sz w:val="24"/>
                <w:szCs w:val="24"/>
              </w:rPr>
              <w:t>Public Only Consultant Contract (POCC) 2023.</w:t>
            </w:r>
            <w:r w:rsidR="002428BF" w:rsidRPr="00AE4B11">
              <w:rPr>
                <w:rFonts w:asciiTheme="minorHAnsi" w:hAnsiTheme="minorHAnsi" w:cstheme="minorHAnsi"/>
                <w:iCs/>
                <w:sz w:val="24"/>
                <w:szCs w:val="24"/>
              </w:rPr>
              <w:t xml:space="preserve"> </w:t>
            </w:r>
          </w:p>
          <w:p w14:paraId="3CBD54C9" w14:textId="5A1E9349" w:rsidR="00412D1B" w:rsidRPr="00AE4B11" w:rsidRDefault="002428BF" w:rsidP="00BB1DEA">
            <w:pPr>
              <w:rPr>
                <w:rFonts w:asciiTheme="minorHAnsi" w:hAnsiTheme="minorHAnsi" w:cstheme="minorHAnsi"/>
                <w:iCs/>
                <w:sz w:val="24"/>
                <w:szCs w:val="24"/>
              </w:rPr>
            </w:pPr>
            <w:r w:rsidRPr="00AE4B11">
              <w:rPr>
                <w:rFonts w:asciiTheme="minorHAnsi" w:hAnsiTheme="minorHAnsi" w:cstheme="minorHAnsi"/>
                <w:iCs/>
                <w:sz w:val="24"/>
                <w:szCs w:val="24"/>
              </w:rPr>
              <w:t xml:space="preserve">The </w:t>
            </w:r>
            <w:r w:rsidR="007726E1" w:rsidRPr="00AE4B11">
              <w:rPr>
                <w:rFonts w:asciiTheme="minorHAnsi" w:hAnsiTheme="minorHAnsi" w:cstheme="minorHAnsi"/>
                <w:iCs/>
                <w:sz w:val="24"/>
                <w:szCs w:val="24"/>
              </w:rPr>
              <w:t>post</w:t>
            </w:r>
            <w:r w:rsidRPr="00AE4B11">
              <w:rPr>
                <w:rFonts w:asciiTheme="minorHAnsi" w:hAnsiTheme="minorHAnsi" w:cstheme="minorHAnsi"/>
                <w:iCs/>
                <w:sz w:val="24"/>
                <w:szCs w:val="24"/>
              </w:rPr>
              <w:t xml:space="preserve"> is split between the two services with a 25hr</w:t>
            </w:r>
            <w:r w:rsidR="007726E1" w:rsidRPr="00AE4B11">
              <w:rPr>
                <w:rFonts w:asciiTheme="minorHAnsi" w:hAnsiTheme="minorHAnsi" w:cstheme="minorHAnsi"/>
                <w:iCs/>
                <w:sz w:val="24"/>
                <w:szCs w:val="24"/>
              </w:rPr>
              <w:t>/week</w:t>
            </w:r>
            <w:r w:rsidRPr="00AE4B11">
              <w:rPr>
                <w:rFonts w:asciiTheme="minorHAnsi" w:hAnsiTheme="minorHAnsi" w:cstheme="minorHAnsi"/>
                <w:iCs/>
                <w:sz w:val="24"/>
                <w:szCs w:val="24"/>
              </w:rPr>
              <w:t xml:space="preserve"> commitment to the GMHS and 12</w:t>
            </w:r>
            <w:r w:rsidR="007726E1" w:rsidRPr="00AE4B11">
              <w:rPr>
                <w:rFonts w:asciiTheme="minorHAnsi" w:hAnsiTheme="minorHAnsi" w:cstheme="minorHAnsi"/>
                <w:iCs/>
                <w:sz w:val="24"/>
                <w:szCs w:val="24"/>
              </w:rPr>
              <w:t xml:space="preserve">hr/week </w:t>
            </w:r>
            <w:r w:rsidRPr="00AE4B11">
              <w:rPr>
                <w:rFonts w:asciiTheme="minorHAnsi" w:hAnsiTheme="minorHAnsi" w:cstheme="minorHAnsi"/>
                <w:iCs/>
                <w:sz w:val="24"/>
                <w:szCs w:val="24"/>
              </w:rPr>
              <w:t>to the GUIDE Clinic</w:t>
            </w:r>
            <w:r w:rsidR="008A0529" w:rsidRPr="00AE4B11">
              <w:rPr>
                <w:rFonts w:asciiTheme="minorHAnsi" w:hAnsiTheme="minorHAnsi" w:cstheme="minorHAnsi"/>
                <w:iCs/>
                <w:sz w:val="24"/>
                <w:szCs w:val="24"/>
              </w:rPr>
              <w:t>, St. James Hospital.</w:t>
            </w:r>
          </w:p>
          <w:p w14:paraId="7281F7CB" w14:textId="4DC16A10" w:rsidR="00BC55ED" w:rsidRPr="00AE4B11" w:rsidRDefault="00BC55ED" w:rsidP="00BB1DEA">
            <w:pPr>
              <w:rPr>
                <w:rFonts w:asciiTheme="minorHAnsi" w:hAnsiTheme="minorHAnsi" w:cstheme="minorHAnsi"/>
                <w:iCs/>
                <w:sz w:val="24"/>
                <w:szCs w:val="24"/>
              </w:rPr>
            </w:pPr>
          </w:p>
        </w:tc>
      </w:tr>
      <w:tr w:rsidR="00412D1B" w:rsidRPr="00AE4B11" w14:paraId="29D7FF4A" w14:textId="77777777" w:rsidTr="00DB10E4">
        <w:tc>
          <w:tcPr>
            <w:tcW w:w="2840" w:type="dxa"/>
          </w:tcPr>
          <w:p w14:paraId="0E731EB8" w14:textId="77777777" w:rsidR="00412D1B" w:rsidRPr="00AE4B11" w:rsidRDefault="00412D1B" w:rsidP="009A5BFE">
            <w:pPr>
              <w:jc w:val="both"/>
              <w:rPr>
                <w:rFonts w:asciiTheme="minorHAnsi" w:hAnsiTheme="minorHAnsi" w:cstheme="minorHAnsi"/>
                <w:b/>
                <w:bCs/>
                <w:sz w:val="24"/>
                <w:szCs w:val="24"/>
              </w:rPr>
            </w:pPr>
            <w:r w:rsidRPr="00AE4B11">
              <w:rPr>
                <w:rFonts w:asciiTheme="minorHAnsi" w:hAnsiTheme="minorHAnsi" w:cstheme="minorHAnsi"/>
                <w:b/>
                <w:bCs/>
                <w:sz w:val="24"/>
                <w:szCs w:val="24"/>
              </w:rPr>
              <w:t>Category of Contract</w:t>
            </w:r>
          </w:p>
        </w:tc>
        <w:tc>
          <w:tcPr>
            <w:tcW w:w="7934" w:type="dxa"/>
          </w:tcPr>
          <w:p w14:paraId="716E3A1B" w14:textId="2E4394F7" w:rsidR="00412D1B" w:rsidRPr="00AE4B11" w:rsidRDefault="007726E1" w:rsidP="009A5BFE">
            <w:pPr>
              <w:jc w:val="both"/>
              <w:rPr>
                <w:rFonts w:asciiTheme="minorHAnsi" w:hAnsiTheme="minorHAnsi" w:cstheme="minorHAnsi"/>
                <w:iCs/>
                <w:sz w:val="24"/>
                <w:szCs w:val="24"/>
              </w:rPr>
            </w:pPr>
            <w:r w:rsidRPr="00AE4B11">
              <w:rPr>
                <w:rFonts w:asciiTheme="minorHAnsi" w:hAnsiTheme="minorHAnsi" w:cstheme="minorHAnsi"/>
                <w:iCs/>
                <w:sz w:val="24"/>
                <w:szCs w:val="24"/>
              </w:rPr>
              <w:t>POCC 2023</w:t>
            </w:r>
          </w:p>
          <w:p w14:paraId="2CB7FFAB" w14:textId="77777777" w:rsidR="00412D1B" w:rsidRPr="00AE4B11" w:rsidRDefault="00412D1B" w:rsidP="009A5BFE">
            <w:pPr>
              <w:jc w:val="both"/>
              <w:rPr>
                <w:rFonts w:asciiTheme="minorHAnsi" w:hAnsiTheme="minorHAnsi" w:cstheme="minorHAnsi"/>
                <w:iCs/>
                <w:sz w:val="24"/>
                <w:szCs w:val="24"/>
              </w:rPr>
            </w:pPr>
          </w:p>
        </w:tc>
      </w:tr>
      <w:tr w:rsidR="00412D1B" w:rsidRPr="00AE4B11" w14:paraId="4ABBEC1C" w14:textId="77777777" w:rsidTr="00DB10E4">
        <w:tc>
          <w:tcPr>
            <w:tcW w:w="2840" w:type="dxa"/>
          </w:tcPr>
          <w:p w14:paraId="5E698E40" w14:textId="77777777" w:rsidR="00412D1B" w:rsidRPr="00AE4B11" w:rsidRDefault="00412D1B" w:rsidP="009A5BFE">
            <w:pPr>
              <w:jc w:val="both"/>
              <w:rPr>
                <w:rFonts w:asciiTheme="minorHAnsi" w:hAnsiTheme="minorHAnsi" w:cstheme="minorHAnsi"/>
                <w:b/>
                <w:bCs/>
                <w:sz w:val="24"/>
                <w:szCs w:val="24"/>
              </w:rPr>
            </w:pPr>
            <w:r w:rsidRPr="00AE4B11">
              <w:rPr>
                <w:rFonts w:asciiTheme="minorHAnsi" w:hAnsiTheme="minorHAnsi" w:cstheme="minorHAnsi"/>
                <w:b/>
                <w:bCs/>
                <w:sz w:val="24"/>
                <w:szCs w:val="24"/>
              </w:rPr>
              <w:t xml:space="preserve">Salary </w:t>
            </w:r>
          </w:p>
        </w:tc>
        <w:tc>
          <w:tcPr>
            <w:tcW w:w="7934" w:type="dxa"/>
          </w:tcPr>
          <w:p w14:paraId="12831B53" w14:textId="77777777" w:rsidR="00412D1B" w:rsidRPr="00AE4B11" w:rsidRDefault="00412D1B" w:rsidP="003F20B5">
            <w:pPr>
              <w:jc w:val="both"/>
              <w:rPr>
                <w:rFonts w:asciiTheme="minorHAnsi" w:hAnsiTheme="minorHAnsi" w:cstheme="minorHAnsi"/>
                <w:iCs/>
                <w:sz w:val="24"/>
                <w:szCs w:val="24"/>
              </w:rPr>
            </w:pPr>
            <w:r w:rsidRPr="00AE4B11">
              <w:rPr>
                <w:rFonts w:asciiTheme="minorHAnsi" w:hAnsiTheme="minorHAnsi" w:cstheme="minorHAnsi"/>
                <w:iCs/>
                <w:sz w:val="24"/>
                <w:szCs w:val="24"/>
              </w:rPr>
              <w:t>Basic salary will be applied in line with approved HSE salary scales</w:t>
            </w:r>
            <w:r w:rsidR="003F20B5" w:rsidRPr="00AE4B11">
              <w:rPr>
                <w:rFonts w:asciiTheme="minorHAnsi" w:hAnsiTheme="minorHAnsi" w:cstheme="minorHAnsi"/>
                <w:iCs/>
                <w:sz w:val="24"/>
                <w:szCs w:val="24"/>
              </w:rPr>
              <w:t xml:space="preserve"> and will be Commensurate</w:t>
            </w:r>
            <w:r w:rsidRPr="00AE4B11">
              <w:rPr>
                <w:rFonts w:asciiTheme="minorHAnsi" w:hAnsiTheme="minorHAnsi" w:cstheme="minorHAnsi"/>
                <w:iCs/>
                <w:sz w:val="24"/>
                <w:szCs w:val="24"/>
              </w:rPr>
              <w:t xml:space="preserve"> with experience and qualifications</w:t>
            </w:r>
            <w:r w:rsidR="003F20B5" w:rsidRPr="00AE4B11">
              <w:rPr>
                <w:rFonts w:asciiTheme="minorHAnsi" w:hAnsiTheme="minorHAnsi" w:cstheme="minorHAnsi"/>
                <w:iCs/>
                <w:sz w:val="24"/>
                <w:szCs w:val="24"/>
              </w:rPr>
              <w:t>.</w:t>
            </w:r>
            <w:r w:rsidRPr="00AE4B11">
              <w:rPr>
                <w:rFonts w:asciiTheme="minorHAnsi" w:hAnsiTheme="minorHAnsi" w:cstheme="minorHAnsi"/>
                <w:iCs/>
                <w:sz w:val="24"/>
                <w:szCs w:val="24"/>
              </w:rPr>
              <w:t xml:space="preserve"> </w:t>
            </w:r>
          </w:p>
        </w:tc>
      </w:tr>
      <w:tr w:rsidR="00412D1B" w:rsidRPr="00AE4B11" w14:paraId="092A7F1C" w14:textId="77777777" w:rsidTr="00DB10E4">
        <w:tc>
          <w:tcPr>
            <w:tcW w:w="2840" w:type="dxa"/>
          </w:tcPr>
          <w:p w14:paraId="265DC76A" w14:textId="77777777" w:rsidR="00412D1B" w:rsidRPr="00AE4B11" w:rsidRDefault="00412D1B" w:rsidP="009A5BFE">
            <w:pPr>
              <w:jc w:val="both"/>
              <w:rPr>
                <w:rFonts w:asciiTheme="minorHAnsi" w:hAnsiTheme="minorHAnsi" w:cstheme="minorHAnsi"/>
                <w:b/>
                <w:bCs/>
                <w:sz w:val="24"/>
                <w:szCs w:val="24"/>
              </w:rPr>
            </w:pPr>
            <w:r w:rsidRPr="00AE4B11">
              <w:rPr>
                <w:rFonts w:asciiTheme="minorHAnsi" w:hAnsiTheme="minorHAnsi" w:cstheme="minorHAnsi"/>
                <w:b/>
                <w:sz w:val="24"/>
                <w:szCs w:val="24"/>
              </w:rPr>
              <w:t>Qualifications:</w:t>
            </w:r>
          </w:p>
        </w:tc>
        <w:tc>
          <w:tcPr>
            <w:tcW w:w="7934" w:type="dxa"/>
          </w:tcPr>
          <w:p w14:paraId="76B7EDCB" w14:textId="100EBB36" w:rsidR="00412D1B" w:rsidRPr="00AE4B11" w:rsidRDefault="00412D1B" w:rsidP="009C4706">
            <w:pPr>
              <w:pStyle w:val="Heading2"/>
              <w:rPr>
                <w:rFonts w:asciiTheme="minorHAnsi" w:hAnsiTheme="minorHAnsi" w:cstheme="minorHAnsi"/>
                <w:b w:val="0"/>
                <w:i w:val="0"/>
                <w:iCs w:val="0"/>
                <w:sz w:val="24"/>
                <w:szCs w:val="24"/>
              </w:rPr>
            </w:pPr>
            <w:r w:rsidRPr="00AE4B11">
              <w:rPr>
                <w:rFonts w:asciiTheme="minorHAnsi" w:hAnsiTheme="minorHAnsi" w:cstheme="minorHAnsi"/>
                <w:b w:val="0"/>
                <w:i w:val="0"/>
                <w:iCs w:val="0"/>
                <w:sz w:val="24"/>
                <w:szCs w:val="24"/>
              </w:rPr>
              <w:t>Registration as a Specialist in the Specialist Division of the Registrar of Medical Practitioners maintained by the Medical Council in Ireland in the Divisions of Genitourinary Medicine</w:t>
            </w:r>
            <w:r w:rsidR="003F20B5" w:rsidRPr="00AE4B11">
              <w:rPr>
                <w:rFonts w:asciiTheme="minorHAnsi" w:hAnsiTheme="minorHAnsi" w:cstheme="minorHAnsi"/>
                <w:b w:val="0"/>
                <w:i w:val="0"/>
                <w:iCs w:val="0"/>
                <w:sz w:val="24"/>
                <w:szCs w:val="24"/>
              </w:rPr>
              <w:t xml:space="preserve"> </w:t>
            </w:r>
            <w:r w:rsidR="002C3B4F" w:rsidRPr="00AE4B11">
              <w:rPr>
                <w:rFonts w:asciiTheme="minorHAnsi" w:hAnsiTheme="minorHAnsi" w:cstheme="minorHAnsi"/>
                <w:b w:val="0"/>
                <w:i w:val="0"/>
                <w:iCs w:val="0"/>
                <w:sz w:val="24"/>
                <w:szCs w:val="24"/>
              </w:rPr>
              <w:t xml:space="preserve">or Infectious Diseases </w:t>
            </w:r>
            <w:r w:rsidRPr="00AE4B11">
              <w:rPr>
                <w:rFonts w:asciiTheme="minorHAnsi" w:hAnsiTheme="minorHAnsi" w:cstheme="minorHAnsi"/>
                <w:b w:val="0"/>
                <w:i w:val="0"/>
                <w:iCs w:val="0"/>
                <w:sz w:val="24"/>
                <w:szCs w:val="24"/>
              </w:rPr>
              <w:t>of the Register of Medical Specialists maintained by the Medical Council in Ireland</w:t>
            </w:r>
            <w:r w:rsidR="008F06A1" w:rsidRPr="00AE4B11">
              <w:rPr>
                <w:rFonts w:asciiTheme="minorHAnsi" w:hAnsiTheme="minorHAnsi" w:cstheme="minorHAnsi"/>
                <w:b w:val="0"/>
                <w:i w:val="0"/>
                <w:iCs w:val="0"/>
                <w:sz w:val="24"/>
                <w:szCs w:val="24"/>
              </w:rPr>
              <w:t xml:space="preserve">, </w:t>
            </w:r>
            <w:r w:rsidR="008F06A1" w:rsidRPr="00AE4B11">
              <w:rPr>
                <w:rFonts w:asciiTheme="minorHAnsi" w:hAnsiTheme="minorHAnsi" w:cstheme="minorHAnsi"/>
                <w:b w:val="0"/>
                <w:i w:val="0"/>
                <w:iCs w:val="0"/>
                <w:sz w:val="24"/>
                <w:szCs w:val="24"/>
                <w:lang w:val="en-IE"/>
              </w:rPr>
              <w:t>before taking up appointment.</w:t>
            </w:r>
          </w:p>
        </w:tc>
      </w:tr>
      <w:tr w:rsidR="00412D1B" w:rsidRPr="00AE4B11" w14:paraId="15B34F82" w14:textId="77777777" w:rsidTr="00DB10E4">
        <w:tc>
          <w:tcPr>
            <w:tcW w:w="2840" w:type="dxa"/>
          </w:tcPr>
          <w:p w14:paraId="114CF1BF" w14:textId="01EEC15C" w:rsidR="001B49BF" w:rsidRPr="00AE4B11" w:rsidRDefault="00096E18" w:rsidP="001B49BF">
            <w:pPr>
              <w:jc w:val="both"/>
              <w:rPr>
                <w:rFonts w:asciiTheme="minorHAnsi" w:hAnsiTheme="minorHAnsi" w:cstheme="minorHAnsi"/>
                <w:sz w:val="24"/>
                <w:szCs w:val="24"/>
              </w:rPr>
            </w:pPr>
            <w:r w:rsidRPr="00AE4B11">
              <w:rPr>
                <w:rFonts w:asciiTheme="minorHAnsi" w:hAnsiTheme="minorHAnsi" w:cstheme="minorHAnsi"/>
                <w:b/>
                <w:sz w:val="24"/>
                <w:szCs w:val="24"/>
              </w:rPr>
              <w:t xml:space="preserve">The GMHS </w:t>
            </w:r>
            <w:r w:rsidR="00275100">
              <w:rPr>
                <w:rFonts w:asciiTheme="minorHAnsi" w:hAnsiTheme="minorHAnsi" w:cstheme="minorHAnsi"/>
                <w:b/>
                <w:sz w:val="24"/>
                <w:szCs w:val="24"/>
              </w:rPr>
              <w:t>Clinic</w:t>
            </w:r>
          </w:p>
          <w:p w14:paraId="4339F311" w14:textId="200A2476" w:rsidR="00412D1B" w:rsidRPr="00AE4B11" w:rsidRDefault="00412D1B" w:rsidP="009A5BFE">
            <w:pPr>
              <w:jc w:val="both"/>
              <w:rPr>
                <w:rFonts w:asciiTheme="minorHAnsi" w:hAnsiTheme="minorHAnsi" w:cstheme="minorHAnsi"/>
                <w:sz w:val="24"/>
                <w:szCs w:val="24"/>
              </w:rPr>
            </w:pPr>
          </w:p>
        </w:tc>
        <w:tc>
          <w:tcPr>
            <w:tcW w:w="7934" w:type="dxa"/>
          </w:tcPr>
          <w:p w14:paraId="2F950765" w14:textId="77777777" w:rsidR="001B49BF" w:rsidRDefault="00033572" w:rsidP="002428BF">
            <w:pPr>
              <w:jc w:val="both"/>
              <w:rPr>
                <w:rFonts w:asciiTheme="minorHAnsi" w:hAnsiTheme="minorHAnsi" w:cstheme="minorHAnsi"/>
                <w:sz w:val="24"/>
                <w:szCs w:val="24"/>
              </w:rPr>
            </w:pPr>
            <w:r w:rsidRPr="00AE4B11">
              <w:rPr>
                <w:rFonts w:asciiTheme="minorHAnsi" w:hAnsiTheme="minorHAnsi" w:cstheme="minorHAnsi"/>
                <w:sz w:val="24"/>
                <w:szCs w:val="24"/>
              </w:rPr>
              <w:t xml:space="preserve">The </w:t>
            </w:r>
            <w:r w:rsidR="002428BF" w:rsidRPr="00AE4B11">
              <w:rPr>
                <w:rFonts w:asciiTheme="minorHAnsi" w:hAnsiTheme="minorHAnsi" w:cstheme="minorHAnsi"/>
                <w:sz w:val="24"/>
                <w:szCs w:val="24"/>
              </w:rPr>
              <w:t xml:space="preserve">GMHS is Irelands only dedicated statutory sexual health and wellbeing service for gay and bisexual men, men who have sex with men and the trans population. </w:t>
            </w:r>
          </w:p>
          <w:p w14:paraId="339CC3B7" w14:textId="77777777" w:rsidR="001B49BF" w:rsidRDefault="001B49BF" w:rsidP="002428BF">
            <w:pPr>
              <w:jc w:val="both"/>
              <w:rPr>
                <w:rFonts w:asciiTheme="minorHAnsi" w:hAnsiTheme="minorHAnsi" w:cstheme="minorHAnsi"/>
                <w:sz w:val="24"/>
                <w:szCs w:val="24"/>
              </w:rPr>
            </w:pPr>
          </w:p>
          <w:p w14:paraId="76BDCDA5" w14:textId="200D007A" w:rsidR="002428BF" w:rsidRDefault="002428BF" w:rsidP="002428BF">
            <w:pPr>
              <w:jc w:val="both"/>
              <w:rPr>
                <w:rFonts w:asciiTheme="minorHAnsi" w:hAnsiTheme="minorHAnsi" w:cstheme="minorHAnsi"/>
                <w:sz w:val="24"/>
                <w:szCs w:val="24"/>
              </w:rPr>
            </w:pPr>
            <w:r w:rsidRPr="00AE4B11">
              <w:rPr>
                <w:rFonts w:asciiTheme="minorHAnsi" w:hAnsiTheme="minorHAnsi" w:cstheme="minorHAnsi"/>
                <w:sz w:val="24"/>
                <w:szCs w:val="24"/>
              </w:rPr>
              <w:t xml:space="preserve">There were approx. </w:t>
            </w:r>
            <w:r w:rsidR="00D36997" w:rsidRPr="00AE4B11">
              <w:rPr>
                <w:rFonts w:asciiTheme="minorHAnsi" w:hAnsiTheme="minorHAnsi" w:cstheme="minorHAnsi"/>
                <w:sz w:val="24"/>
                <w:szCs w:val="24"/>
              </w:rPr>
              <w:t>8,330</w:t>
            </w:r>
            <w:r w:rsidRPr="00AE4B11">
              <w:rPr>
                <w:rFonts w:asciiTheme="minorHAnsi" w:hAnsiTheme="minorHAnsi" w:cstheme="minorHAnsi"/>
                <w:sz w:val="24"/>
                <w:szCs w:val="24"/>
              </w:rPr>
              <w:t xml:space="preserve"> patient attendances in </w:t>
            </w:r>
            <w:r w:rsidR="00DC1184" w:rsidRPr="00AE4B11">
              <w:rPr>
                <w:rFonts w:asciiTheme="minorHAnsi" w:hAnsiTheme="minorHAnsi" w:cstheme="minorHAnsi"/>
                <w:sz w:val="24"/>
                <w:szCs w:val="24"/>
              </w:rPr>
              <w:t>2023 which</w:t>
            </w:r>
            <w:r w:rsidRPr="00AE4B11">
              <w:rPr>
                <w:rFonts w:asciiTheme="minorHAnsi" w:hAnsiTheme="minorHAnsi" w:cstheme="minorHAnsi"/>
                <w:sz w:val="24"/>
                <w:szCs w:val="24"/>
              </w:rPr>
              <w:t xml:space="preserve"> was a </w:t>
            </w:r>
            <w:r w:rsidR="00D36997" w:rsidRPr="00AE4B11">
              <w:rPr>
                <w:rFonts w:asciiTheme="minorHAnsi" w:hAnsiTheme="minorHAnsi" w:cstheme="minorHAnsi"/>
                <w:sz w:val="24"/>
                <w:szCs w:val="24"/>
              </w:rPr>
              <w:t>12</w:t>
            </w:r>
            <w:r w:rsidRPr="00AE4B11">
              <w:rPr>
                <w:rFonts w:asciiTheme="minorHAnsi" w:hAnsiTheme="minorHAnsi" w:cstheme="minorHAnsi"/>
                <w:sz w:val="24"/>
                <w:szCs w:val="24"/>
              </w:rPr>
              <w:t xml:space="preserve">% increase on the previous year. Approximately 25% of patients seen are diagnosed with an STI </w:t>
            </w:r>
            <w:r w:rsidR="00D36997" w:rsidRPr="00AE4B11">
              <w:rPr>
                <w:rFonts w:asciiTheme="minorHAnsi" w:hAnsiTheme="minorHAnsi" w:cstheme="minorHAnsi"/>
                <w:sz w:val="24"/>
                <w:szCs w:val="24"/>
              </w:rPr>
              <w:t>which</w:t>
            </w:r>
            <w:r w:rsidRPr="00AE4B11">
              <w:rPr>
                <w:rFonts w:asciiTheme="minorHAnsi" w:hAnsiTheme="minorHAnsi" w:cstheme="minorHAnsi"/>
                <w:sz w:val="24"/>
                <w:szCs w:val="24"/>
              </w:rPr>
              <w:t xml:space="preserve"> require treatment, health advice and further follow up appointments. This </w:t>
            </w:r>
            <w:r w:rsidR="00D36997" w:rsidRPr="00AE4B11">
              <w:rPr>
                <w:rFonts w:asciiTheme="minorHAnsi" w:hAnsiTheme="minorHAnsi" w:cstheme="minorHAnsi"/>
                <w:sz w:val="24"/>
                <w:szCs w:val="24"/>
              </w:rPr>
              <w:t>service is provided by</w:t>
            </w:r>
            <w:r w:rsidRPr="00AE4B11">
              <w:rPr>
                <w:rFonts w:asciiTheme="minorHAnsi" w:hAnsiTheme="minorHAnsi" w:cstheme="minorHAnsi"/>
                <w:sz w:val="24"/>
                <w:szCs w:val="24"/>
              </w:rPr>
              <w:t xml:space="preserve"> specialist nursing and medical staff </w:t>
            </w:r>
            <w:r w:rsidR="00D36997" w:rsidRPr="00AE4B11">
              <w:rPr>
                <w:rFonts w:asciiTheme="minorHAnsi" w:hAnsiTheme="minorHAnsi" w:cstheme="minorHAnsi"/>
                <w:sz w:val="24"/>
                <w:szCs w:val="24"/>
              </w:rPr>
              <w:t xml:space="preserve">in </w:t>
            </w:r>
            <w:r w:rsidRPr="00AE4B11">
              <w:rPr>
                <w:rFonts w:asciiTheme="minorHAnsi" w:hAnsiTheme="minorHAnsi" w:cstheme="minorHAnsi"/>
                <w:sz w:val="24"/>
                <w:szCs w:val="24"/>
              </w:rPr>
              <w:t xml:space="preserve">a timely fashion. This is the essence from a public health perspective of an effective Sexual Health clinic </w:t>
            </w:r>
            <w:r w:rsidR="00DC1184" w:rsidRPr="00AE4B11">
              <w:rPr>
                <w:rFonts w:asciiTheme="minorHAnsi" w:hAnsiTheme="minorHAnsi" w:cstheme="minorHAnsi"/>
                <w:sz w:val="24"/>
                <w:szCs w:val="24"/>
              </w:rPr>
              <w:t>– efficient</w:t>
            </w:r>
            <w:r w:rsidRPr="00AE4B11">
              <w:rPr>
                <w:rFonts w:asciiTheme="minorHAnsi" w:hAnsiTheme="minorHAnsi" w:cstheme="minorHAnsi"/>
                <w:sz w:val="24"/>
                <w:szCs w:val="24"/>
              </w:rPr>
              <w:t xml:space="preserve"> and timely diagnosis, treatment and follow up of those diagnosed with STIs</w:t>
            </w:r>
            <w:r w:rsidR="006C1EAA" w:rsidRPr="00AE4B11">
              <w:rPr>
                <w:rFonts w:asciiTheme="minorHAnsi" w:hAnsiTheme="minorHAnsi" w:cstheme="minorHAnsi"/>
                <w:sz w:val="24"/>
                <w:szCs w:val="24"/>
              </w:rPr>
              <w:t xml:space="preserve">, along with comprehensive risk reduction and prevention </w:t>
            </w:r>
            <w:proofErr w:type="spellStart"/>
            <w:r w:rsidR="006C1EAA" w:rsidRPr="00AE4B11">
              <w:rPr>
                <w:rFonts w:asciiTheme="minorHAnsi" w:hAnsiTheme="minorHAnsi" w:cstheme="minorHAnsi"/>
                <w:sz w:val="24"/>
                <w:szCs w:val="24"/>
              </w:rPr>
              <w:t>programmes</w:t>
            </w:r>
            <w:proofErr w:type="spellEnd"/>
            <w:r w:rsidR="00D36997" w:rsidRPr="00AE4B11">
              <w:rPr>
                <w:rFonts w:asciiTheme="minorHAnsi" w:hAnsiTheme="minorHAnsi" w:cstheme="minorHAnsi"/>
                <w:sz w:val="24"/>
                <w:szCs w:val="24"/>
              </w:rPr>
              <w:t>. There were 2,600 PrEP attendances in 2023 along with administration of 1,750 vaccines.</w:t>
            </w:r>
          </w:p>
          <w:p w14:paraId="2DD80D41" w14:textId="77777777" w:rsidR="001B49BF" w:rsidRPr="00AE4B11" w:rsidRDefault="001B49BF" w:rsidP="002428BF">
            <w:pPr>
              <w:jc w:val="both"/>
              <w:rPr>
                <w:rFonts w:asciiTheme="minorHAnsi" w:hAnsiTheme="minorHAnsi" w:cstheme="minorHAnsi"/>
                <w:sz w:val="24"/>
                <w:szCs w:val="24"/>
              </w:rPr>
            </w:pPr>
          </w:p>
          <w:p w14:paraId="00993C93" w14:textId="77777777" w:rsidR="001B49BF" w:rsidRDefault="00FA6A24" w:rsidP="002428BF">
            <w:pPr>
              <w:jc w:val="both"/>
              <w:rPr>
                <w:rFonts w:asciiTheme="minorHAnsi" w:hAnsiTheme="minorHAnsi" w:cstheme="minorHAnsi"/>
                <w:sz w:val="24"/>
                <w:szCs w:val="24"/>
              </w:rPr>
            </w:pPr>
            <w:r w:rsidRPr="00AE4B11">
              <w:rPr>
                <w:rFonts w:asciiTheme="minorHAnsi" w:hAnsiTheme="minorHAnsi" w:cstheme="minorHAnsi"/>
                <w:sz w:val="24"/>
                <w:szCs w:val="24"/>
              </w:rPr>
              <w:t xml:space="preserve">The clinic is </w:t>
            </w:r>
            <w:r w:rsidR="00AE4B11" w:rsidRPr="00AE4B11">
              <w:rPr>
                <w:rFonts w:asciiTheme="minorHAnsi" w:hAnsiTheme="minorHAnsi" w:cstheme="minorHAnsi"/>
                <w:sz w:val="24"/>
                <w:szCs w:val="24"/>
              </w:rPr>
              <w:t>has expanded</w:t>
            </w:r>
            <w:r w:rsidR="00D36997" w:rsidRPr="00AE4B11">
              <w:rPr>
                <w:rFonts w:asciiTheme="minorHAnsi" w:hAnsiTheme="minorHAnsi" w:cstheme="minorHAnsi"/>
                <w:sz w:val="24"/>
                <w:szCs w:val="24"/>
              </w:rPr>
              <w:t xml:space="preserve"> since 2021 with the first appointment of a consultant based at the GMHS</w:t>
            </w:r>
            <w:r w:rsidRPr="00AE4B11">
              <w:rPr>
                <w:rFonts w:asciiTheme="minorHAnsi" w:hAnsiTheme="minorHAnsi" w:cstheme="minorHAnsi"/>
                <w:sz w:val="24"/>
                <w:szCs w:val="24"/>
              </w:rPr>
              <w:t>, transitioning from predominantly temporary staff to permanent staff in all disciplines, along with establishing a</w:t>
            </w:r>
            <w:r w:rsidR="00033572" w:rsidRPr="00AE4B11">
              <w:rPr>
                <w:rFonts w:asciiTheme="minorHAnsi" w:hAnsiTheme="minorHAnsi" w:cstheme="minorHAnsi"/>
                <w:sz w:val="24"/>
                <w:szCs w:val="24"/>
              </w:rPr>
              <w:t>n</w:t>
            </w:r>
            <w:r w:rsidRPr="00AE4B11">
              <w:rPr>
                <w:rFonts w:asciiTheme="minorHAnsi" w:hAnsiTheme="minorHAnsi" w:cstheme="minorHAnsi"/>
                <w:sz w:val="24"/>
                <w:szCs w:val="24"/>
              </w:rPr>
              <w:t xml:space="preserve"> IT infrastructure for all clinic needs including </w:t>
            </w:r>
            <w:r w:rsidR="006C1EAA" w:rsidRPr="00AE4B11">
              <w:rPr>
                <w:rFonts w:asciiTheme="minorHAnsi" w:hAnsiTheme="minorHAnsi" w:cstheme="minorHAnsi"/>
                <w:sz w:val="24"/>
                <w:szCs w:val="24"/>
              </w:rPr>
              <w:t xml:space="preserve">electronic </w:t>
            </w:r>
            <w:r w:rsidRPr="00AE4B11">
              <w:rPr>
                <w:rFonts w:asciiTheme="minorHAnsi" w:hAnsiTheme="minorHAnsi" w:cstheme="minorHAnsi"/>
                <w:sz w:val="24"/>
                <w:szCs w:val="24"/>
              </w:rPr>
              <w:t xml:space="preserve">patient records. </w:t>
            </w:r>
          </w:p>
          <w:p w14:paraId="7BDBF938" w14:textId="77777777" w:rsidR="001B49BF" w:rsidRDefault="001B49BF" w:rsidP="002428BF">
            <w:pPr>
              <w:jc w:val="both"/>
              <w:rPr>
                <w:rFonts w:asciiTheme="minorHAnsi" w:hAnsiTheme="minorHAnsi" w:cstheme="minorHAnsi"/>
                <w:sz w:val="24"/>
                <w:szCs w:val="24"/>
              </w:rPr>
            </w:pPr>
          </w:p>
          <w:p w14:paraId="45DCFA3F" w14:textId="77777777" w:rsidR="00412D1B" w:rsidRDefault="00FA6A24" w:rsidP="001B49BF">
            <w:pPr>
              <w:jc w:val="both"/>
              <w:rPr>
                <w:rFonts w:asciiTheme="minorHAnsi" w:hAnsiTheme="minorHAnsi" w:cstheme="minorHAnsi"/>
                <w:sz w:val="24"/>
                <w:szCs w:val="24"/>
              </w:rPr>
            </w:pPr>
            <w:r w:rsidRPr="00AE4B11">
              <w:rPr>
                <w:rFonts w:asciiTheme="minorHAnsi" w:hAnsiTheme="minorHAnsi" w:cstheme="minorHAnsi"/>
                <w:sz w:val="24"/>
                <w:szCs w:val="24"/>
              </w:rPr>
              <w:lastRenderedPageBreak/>
              <w:t xml:space="preserve">This is </w:t>
            </w:r>
            <w:r w:rsidR="00033572" w:rsidRPr="00AE4B11">
              <w:rPr>
                <w:rFonts w:asciiTheme="minorHAnsi" w:hAnsiTheme="minorHAnsi" w:cstheme="minorHAnsi"/>
                <w:sz w:val="24"/>
                <w:szCs w:val="24"/>
              </w:rPr>
              <w:t xml:space="preserve">an </w:t>
            </w:r>
            <w:r w:rsidRPr="00AE4B11">
              <w:rPr>
                <w:rFonts w:asciiTheme="minorHAnsi" w:hAnsiTheme="minorHAnsi" w:cstheme="minorHAnsi"/>
                <w:sz w:val="24"/>
                <w:szCs w:val="24"/>
              </w:rPr>
              <w:t xml:space="preserve">exciting time for the GMHS and for the new consultant appointee. </w:t>
            </w:r>
            <w:r w:rsidR="00775989" w:rsidRPr="00AE4B11">
              <w:rPr>
                <w:rFonts w:asciiTheme="minorHAnsi" w:hAnsiTheme="minorHAnsi" w:cstheme="minorHAnsi"/>
                <w:sz w:val="24"/>
                <w:szCs w:val="24"/>
              </w:rPr>
              <w:t xml:space="preserve">They </w:t>
            </w:r>
            <w:r w:rsidR="00033572" w:rsidRPr="00AE4B11">
              <w:rPr>
                <w:rFonts w:asciiTheme="minorHAnsi" w:hAnsiTheme="minorHAnsi" w:cstheme="minorHAnsi"/>
                <w:sz w:val="24"/>
                <w:szCs w:val="24"/>
              </w:rPr>
              <w:t xml:space="preserve">will be expected to </w:t>
            </w:r>
            <w:r w:rsidR="00DC1184" w:rsidRPr="00AE4B11">
              <w:rPr>
                <w:rFonts w:asciiTheme="minorHAnsi" w:hAnsiTheme="minorHAnsi" w:cstheme="minorHAnsi"/>
                <w:sz w:val="24"/>
                <w:szCs w:val="24"/>
              </w:rPr>
              <w:t>lead on developing</w:t>
            </w:r>
            <w:r w:rsidR="00775989" w:rsidRPr="00AE4B11">
              <w:rPr>
                <w:rFonts w:asciiTheme="minorHAnsi" w:hAnsiTheme="minorHAnsi" w:cstheme="minorHAnsi"/>
                <w:sz w:val="24"/>
                <w:szCs w:val="24"/>
              </w:rPr>
              <w:t xml:space="preserve"> the current sexual </w:t>
            </w:r>
            <w:r w:rsidR="00DC1184" w:rsidRPr="00AE4B11">
              <w:rPr>
                <w:rFonts w:asciiTheme="minorHAnsi" w:hAnsiTheme="minorHAnsi" w:cstheme="minorHAnsi"/>
                <w:sz w:val="24"/>
                <w:szCs w:val="24"/>
              </w:rPr>
              <w:t>health services offered</w:t>
            </w:r>
            <w:r w:rsidR="00775989" w:rsidRPr="00AE4B11">
              <w:rPr>
                <w:rFonts w:asciiTheme="minorHAnsi" w:hAnsiTheme="minorHAnsi" w:cstheme="minorHAnsi"/>
                <w:sz w:val="24"/>
                <w:szCs w:val="24"/>
              </w:rPr>
              <w:t xml:space="preserve"> </w:t>
            </w:r>
            <w:r w:rsidR="00DC1184" w:rsidRPr="00AE4B11">
              <w:rPr>
                <w:rFonts w:asciiTheme="minorHAnsi" w:hAnsiTheme="minorHAnsi" w:cstheme="minorHAnsi"/>
                <w:sz w:val="24"/>
                <w:szCs w:val="24"/>
              </w:rPr>
              <w:t>including</w:t>
            </w:r>
            <w:r w:rsidR="00775989" w:rsidRPr="00AE4B11">
              <w:rPr>
                <w:rFonts w:asciiTheme="minorHAnsi" w:hAnsiTheme="minorHAnsi" w:cstheme="minorHAnsi"/>
                <w:sz w:val="24"/>
                <w:szCs w:val="24"/>
              </w:rPr>
              <w:t xml:space="preserve"> P</w:t>
            </w:r>
            <w:r w:rsidR="006C1EAA" w:rsidRPr="00AE4B11">
              <w:rPr>
                <w:rFonts w:asciiTheme="minorHAnsi" w:hAnsiTheme="minorHAnsi" w:cstheme="minorHAnsi"/>
                <w:sz w:val="24"/>
                <w:szCs w:val="24"/>
              </w:rPr>
              <w:t>r</w:t>
            </w:r>
            <w:r w:rsidR="00775989" w:rsidRPr="00AE4B11">
              <w:rPr>
                <w:rFonts w:asciiTheme="minorHAnsi" w:hAnsiTheme="minorHAnsi" w:cstheme="minorHAnsi"/>
                <w:sz w:val="24"/>
                <w:szCs w:val="24"/>
              </w:rPr>
              <w:t>EP clinic and specialist sexual health services.</w:t>
            </w:r>
          </w:p>
          <w:p w14:paraId="212EA66C" w14:textId="0B187F6C" w:rsidR="001B49BF" w:rsidRPr="001B49BF" w:rsidRDefault="001B49BF" w:rsidP="001B49BF">
            <w:pPr>
              <w:jc w:val="both"/>
              <w:rPr>
                <w:rFonts w:asciiTheme="minorHAnsi" w:hAnsiTheme="minorHAnsi" w:cstheme="minorHAnsi"/>
                <w:sz w:val="24"/>
                <w:szCs w:val="24"/>
              </w:rPr>
            </w:pPr>
          </w:p>
        </w:tc>
      </w:tr>
      <w:tr w:rsidR="00412D1B" w:rsidRPr="00AE4B11" w14:paraId="3A42227E" w14:textId="77777777" w:rsidTr="00DB10E4">
        <w:tc>
          <w:tcPr>
            <w:tcW w:w="2840" w:type="dxa"/>
          </w:tcPr>
          <w:p w14:paraId="58BA9E12" w14:textId="3C8B5E0D" w:rsidR="001B49BF" w:rsidRPr="00AE4B11" w:rsidRDefault="001B49BF" w:rsidP="001B49BF">
            <w:pPr>
              <w:jc w:val="both"/>
              <w:rPr>
                <w:rFonts w:asciiTheme="minorHAnsi" w:hAnsiTheme="minorHAnsi" w:cstheme="minorHAnsi"/>
                <w:sz w:val="24"/>
                <w:szCs w:val="24"/>
              </w:rPr>
            </w:pPr>
            <w:r>
              <w:rPr>
                <w:rFonts w:asciiTheme="minorHAnsi" w:hAnsiTheme="minorHAnsi" w:cstheme="minorHAnsi"/>
                <w:b/>
                <w:sz w:val="24"/>
                <w:szCs w:val="24"/>
              </w:rPr>
              <w:lastRenderedPageBreak/>
              <w:t xml:space="preserve">The </w:t>
            </w:r>
            <w:r w:rsidRPr="00AE4B11">
              <w:rPr>
                <w:rFonts w:asciiTheme="minorHAnsi" w:hAnsiTheme="minorHAnsi" w:cstheme="minorHAnsi"/>
                <w:b/>
                <w:sz w:val="24"/>
                <w:szCs w:val="24"/>
              </w:rPr>
              <w:t xml:space="preserve">GUIDE Clinic </w:t>
            </w:r>
          </w:p>
          <w:p w14:paraId="1AFDF2A4" w14:textId="54B3FC42" w:rsidR="00412D1B" w:rsidRPr="00AE4B11" w:rsidRDefault="00412D1B" w:rsidP="001B49BF">
            <w:pPr>
              <w:jc w:val="both"/>
              <w:rPr>
                <w:rFonts w:asciiTheme="minorHAnsi" w:hAnsiTheme="minorHAnsi" w:cstheme="minorHAnsi"/>
                <w:sz w:val="24"/>
                <w:szCs w:val="24"/>
              </w:rPr>
            </w:pPr>
          </w:p>
        </w:tc>
        <w:tc>
          <w:tcPr>
            <w:tcW w:w="7934" w:type="dxa"/>
          </w:tcPr>
          <w:p w14:paraId="67ECC381" w14:textId="06CEF3B0" w:rsidR="00AE4B11" w:rsidRPr="00AE4B11" w:rsidRDefault="00AE4B11" w:rsidP="00AE4B11">
            <w:pPr>
              <w:pStyle w:val="TableParagraph"/>
              <w:spacing w:before="1" w:line="300" w:lineRule="atLeast"/>
              <w:ind w:left="39" w:right="232"/>
              <w:rPr>
                <w:rFonts w:asciiTheme="minorHAnsi" w:hAnsiTheme="minorHAnsi" w:cstheme="minorHAnsi"/>
                <w:sz w:val="24"/>
                <w:szCs w:val="24"/>
              </w:rPr>
            </w:pPr>
            <w:r w:rsidRPr="00AE4B11">
              <w:rPr>
                <w:rFonts w:asciiTheme="minorHAnsi" w:hAnsiTheme="minorHAnsi" w:cstheme="minorHAnsi"/>
                <w:sz w:val="24"/>
                <w:szCs w:val="24"/>
              </w:rPr>
              <w:t xml:space="preserve">The GUIDE clinic is the largest adult HIV and Sexual Health service in Ireland, providing comprehensive HIV care to almost 3,000 individuals living with HIV. The GUIDE clinic has approx. 33,000 outpatient attendances per annum, across a wide range of services; HIV ambulatory care, Genitourinary medicine clinics: Sexual Health testing and treatment, HIV prevention (PEP, PrEP), Young Persons Sexual Health service, viral hepatitis screening and treatment, vaccination service, general infectious diseases service, OPAT, inclusion health, prison and antenatal outreach services. </w:t>
            </w:r>
          </w:p>
          <w:p w14:paraId="01151A16" w14:textId="77777777" w:rsidR="00AE4B11" w:rsidRPr="00AE4B11" w:rsidRDefault="00AE4B11" w:rsidP="00AE4B11">
            <w:pPr>
              <w:jc w:val="both"/>
              <w:rPr>
                <w:rFonts w:asciiTheme="minorHAnsi" w:hAnsiTheme="minorHAnsi" w:cstheme="minorHAnsi"/>
                <w:sz w:val="24"/>
                <w:szCs w:val="24"/>
              </w:rPr>
            </w:pPr>
            <w:r w:rsidRPr="00AE4B11">
              <w:rPr>
                <w:rFonts w:asciiTheme="minorHAnsi" w:hAnsiTheme="minorHAnsi" w:cstheme="minorHAnsi"/>
                <w:sz w:val="24"/>
                <w:szCs w:val="24"/>
              </w:rPr>
              <w:t xml:space="preserve">The department also provides specialist inpatient HIV and general infectious diseases care. </w:t>
            </w:r>
          </w:p>
          <w:p w14:paraId="219678E3" w14:textId="4C676367" w:rsidR="00AE4B11" w:rsidRPr="00AE4B11" w:rsidRDefault="00AE4B11" w:rsidP="00AE4B11">
            <w:pPr>
              <w:jc w:val="both"/>
              <w:rPr>
                <w:rFonts w:asciiTheme="minorHAnsi" w:hAnsiTheme="minorHAnsi" w:cstheme="minorHAnsi"/>
                <w:sz w:val="24"/>
                <w:szCs w:val="24"/>
              </w:rPr>
            </w:pPr>
            <w:r w:rsidRPr="00AE4B11">
              <w:rPr>
                <w:rFonts w:asciiTheme="minorHAnsi" w:hAnsiTheme="minorHAnsi" w:cstheme="minorHAnsi"/>
                <w:sz w:val="24"/>
                <w:szCs w:val="24"/>
              </w:rPr>
              <w:t>The department aims to enhance and promote high standards of professional healthcare in order to deliver an open access and comprehensive exemplary service to all patients.</w:t>
            </w:r>
          </w:p>
          <w:p w14:paraId="23BAB985" w14:textId="77777777" w:rsidR="00AE4B11" w:rsidRPr="00AE4B11" w:rsidRDefault="00AE4B11" w:rsidP="00033572">
            <w:pPr>
              <w:jc w:val="both"/>
              <w:rPr>
                <w:rFonts w:asciiTheme="minorHAnsi" w:hAnsiTheme="minorHAnsi" w:cstheme="minorHAnsi"/>
                <w:sz w:val="24"/>
                <w:szCs w:val="24"/>
              </w:rPr>
            </w:pPr>
          </w:p>
          <w:p w14:paraId="43541C9D" w14:textId="730755CA" w:rsidR="00AE4B11" w:rsidRPr="00AE4B11" w:rsidRDefault="00AE4B11" w:rsidP="00033572">
            <w:pPr>
              <w:jc w:val="both"/>
              <w:rPr>
                <w:rFonts w:asciiTheme="minorHAnsi" w:hAnsiTheme="minorHAnsi" w:cstheme="minorHAnsi"/>
                <w:sz w:val="24"/>
                <w:szCs w:val="24"/>
              </w:rPr>
            </w:pPr>
            <w:r w:rsidRPr="00AE4B11">
              <w:rPr>
                <w:rFonts w:asciiTheme="minorHAnsi" w:hAnsiTheme="minorHAnsi" w:cstheme="minorHAnsi"/>
                <w:sz w:val="24"/>
                <w:szCs w:val="24"/>
              </w:rPr>
              <w:t>The department</w:t>
            </w:r>
            <w:r w:rsidR="00412D1B" w:rsidRPr="00AE4B11">
              <w:rPr>
                <w:rFonts w:asciiTheme="minorHAnsi" w:hAnsiTheme="minorHAnsi" w:cstheme="minorHAnsi"/>
                <w:sz w:val="24"/>
                <w:szCs w:val="24"/>
              </w:rPr>
              <w:t xml:space="preserve"> strives to </w:t>
            </w:r>
            <w:r w:rsidR="00284696" w:rsidRPr="00AE4B11">
              <w:rPr>
                <w:rFonts w:asciiTheme="minorHAnsi" w:hAnsiTheme="minorHAnsi" w:cstheme="minorHAnsi"/>
                <w:sz w:val="24"/>
                <w:szCs w:val="24"/>
              </w:rPr>
              <w:t>maximize</w:t>
            </w:r>
            <w:r w:rsidR="00412D1B" w:rsidRPr="00AE4B11">
              <w:rPr>
                <w:rFonts w:asciiTheme="minorHAnsi" w:hAnsiTheme="minorHAnsi" w:cstheme="minorHAnsi"/>
                <w:sz w:val="24"/>
                <w:szCs w:val="24"/>
              </w:rPr>
              <w:t xml:space="preserve"> effectiveness, efficacy and appropriateness of patient service</w:t>
            </w:r>
            <w:r w:rsidR="00C91A53">
              <w:rPr>
                <w:rFonts w:asciiTheme="minorHAnsi" w:hAnsiTheme="minorHAnsi" w:cstheme="minorHAnsi"/>
                <w:sz w:val="24"/>
                <w:szCs w:val="24"/>
              </w:rPr>
              <w:t>s</w:t>
            </w:r>
            <w:r w:rsidR="00412D1B" w:rsidRPr="00AE4B11">
              <w:rPr>
                <w:rFonts w:asciiTheme="minorHAnsi" w:hAnsiTheme="minorHAnsi" w:cstheme="minorHAnsi"/>
                <w:sz w:val="24"/>
                <w:szCs w:val="24"/>
              </w:rPr>
              <w:t xml:space="preserve"> and aims to provide a quality service within the frame of available resources and to constantly monitor and evaluate </w:t>
            </w:r>
            <w:r w:rsidR="00C91A53">
              <w:rPr>
                <w:rFonts w:asciiTheme="minorHAnsi" w:hAnsiTheme="minorHAnsi" w:cstheme="minorHAnsi"/>
                <w:sz w:val="24"/>
                <w:szCs w:val="24"/>
              </w:rPr>
              <w:t>outcomes</w:t>
            </w:r>
            <w:r w:rsidR="00412D1B" w:rsidRPr="00AE4B11">
              <w:rPr>
                <w:rFonts w:asciiTheme="minorHAnsi" w:hAnsiTheme="minorHAnsi" w:cstheme="minorHAnsi"/>
                <w:sz w:val="24"/>
                <w:szCs w:val="24"/>
              </w:rPr>
              <w:t>.</w:t>
            </w:r>
            <w:r w:rsidR="00033572" w:rsidRPr="00AE4B11">
              <w:rPr>
                <w:rFonts w:asciiTheme="minorHAnsi" w:hAnsiTheme="minorHAnsi" w:cstheme="minorHAnsi"/>
                <w:sz w:val="24"/>
                <w:szCs w:val="24"/>
              </w:rPr>
              <w:t xml:space="preserve"> </w:t>
            </w:r>
          </w:p>
          <w:p w14:paraId="39216A9D" w14:textId="77777777" w:rsidR="00AE4B11" w:rsidRPr="00AE4B11" w:rsidRDefault="00AE4B11" w:rsidP="00033572">
            <w:pPr>
              <w:jc w:val="both"/>
              <w:rPr>
                <w:rFonts w:asciiTheme="minorHAnsi" w:hAnsiTheme="minorHAnsi" w:cstheme="minorHAnsi"/>
                <w:sz w:val="24"/>
                <w:szCs w:val="24"/>
              </w:rPr>
            </w:pPr>
          </w:p>
          <w:p w14:paraId="1B522AD6" w14:textId="0CDA98B7" w:rsidR="00412D1B" w:rsidRPr="00AE4B11" w:rsidRDefault="00033572" w:rsidP="00033572">
            <w:pPr>
              <w:jc w:val="both"/>
              <w:rPr>
                <w:rFonts w:asciiTheme="minorHAnsi" w:hAnsiTheme="minorHAnsi" w:cstheme="minorHAnsi"/>
                <w:sz w:val="24"/>
                <w:szCs w:val="24"/>
              </w:rPr>
            </w:pPr>
            <w:r w:rsidRPr="00AE4B11">
              <w:rPr>
                <w:rFonts w:asciiTheme="minorHAnsi" w:hAnsiTheme="minorHAnsi" w:cstheme="minorHAnsi"/>
                <w:sz w:val="24"/>
                <w:szCs w:val="24"/>
              </w:rPr>
              <w:t>The successful consultant appointee will have to opportunity to participate in both HIV and sexual health clinics on a weekly basis as per the needs of the department.</w:t>
            </w:r>
          </w:p>
        </w:tc>
      </w:tr>
      <w:tr w:rsidR="00412D1B" w:rsidRPr="00AE4B11" w14:paraId="16185EB0" w14:textId="77777777" w:rsidTr="00DB10E4">
        <w:tc>
          <w:tcPr>
            <w:tcW w:w="2840" w:type="dxa"/>
          </w:tcPr>
          <w:p w14:paraId="163211F2" w14:textId="77777777" w:rsidR="00412D1B" w:rsidRPr="00AE4B11" w:rsidRDefault="00412D1B" w:rsidP="009A5BFE">
            <w:pPr>
              <w:jc w:val="both"/>
              <w:rPr>
                <w:rFonts w:asciiTheme="minorHAnsi" w:hAnsiTheme="minorHAnsi" w:cstheme="minorHAnsi"/>
                <w:b/>
                <w:iCs/>
                <w:sz w:val="24"/>
                <w:szCs w:val="24"/>
              </w:rPr>
            </w:pPr>
            <w:r w:rsidRPr="00AE4B11">
              <w:rPr>
                <w:rFonts w:asciiTheme="minorHAnsi" w:hAnsiTheme="minorHAnsi" w:cstheme="minorHAnsi"/>
                <w:b/>
                <w:iCs/>
                <w:sz w:val="24"/>
                <w:szCs w:val="24"/>
              </w:rPr>
              <w:t>Main role, duties and responsibilities</w:t>
            </w:r>
          </w:p>
          <w:p w14:paraId="19E7200C" w14:textId="77777777" w:rsidR="00BB1DEA" w:rsidRPr="00AE4B11" w:rsidRDefault="00BB1DEA" w:rsidP="009A5BFE">
            <w:pPr>
              <w:jc w:val="both"/>
              <w:rPr>
                <w:rFonts w:asciiTheme="minorHAnsi" w:hAnsiTheme="minorHAnsi" w:cstheme="minorHAnsi"/>
                <w:b/>
                <w:sz w:val="24"/>
                <w:szCs w:val="24"/>
              </w:rPr>
            </w:pPr>
          </w:p>
        </w:tc>
        <w:tc>
          <w:tcPr>
            <w:tcW w:w="7934" w:type="dxa"/>
          </w:tcPr>
          <w:p w14:paraId="52C52980" w14:textId="141C84A2" w:rsidR="00412D1B" w:rsidRDefault="00412D1B" w:rsidP="00412D1B">
            <w:pPr>
              <w:jc w:val="both"/>
              <w:rPr>
                <w:rFonts w:asciiTheme="minorHAnsi" w:hAnsiTheme="minorHAnsi" w:cstheme="minorHAnsi"/>
                <w:sz w:val="24"/>
                <w:szCs w:val="24"/>
              </w:rPr>
            </w:pPr>
            <w:r w:rsidRPr="00AE4B11">
              <w:rPr>
                <w:rFonts w:asciiTheme="minorHAnsi" w:hAnsiTheme="minorHAnsi" w:cstheme="minorHAnsi"/>
                <w:sz w:val="24"/>
                <w:szCs w:val="24"/>
              </w:rPr>
              <w:t xml:space="preserve">The successful </w:t>
            </w:r>
            <w:r w:rsidR="005A42B0" w:rsidRPr="00AE4B11">
              <w:rPr>
                <w:rFonts w:asciiTheme="minorHAnsi" w:hAnsiTheme="minorHAnsi" w:cstheme="minorHAnsi"/>
                <w:sz w:val="24"/>
                <w:szCs w:val="24"/>
              </w:rPr>
              <w:t>candidate will</w:t>
            </w:r>
            <w:r w:rsidRPr="00AE4B11">
              <w:rPr>
                <w:rFonts w:asciiTheme="minorHAnsi" w:hAnsiTheme="minorHAnsi" w:cstheme="minorHAnsi"/>
                <w:sz w:val="24"/>
                <w:szCs w:val="24"/>
              </w:rPr>
              <w:t xml:space="preserve">: </w:t>
            </w:r>
          </w:p>
          <w:p w14:paraId="0BC40113" w14:textId="77777777" w:rsidR="005A42B0" w:rsidRPr="006D4F59" w:rsidRDefault="005A42B0" w:rsidP="005A42B0">
            <w:pPr>
              <w:jc w:val="both"/>
              <w:rPr>
                <w:rFonts w:asciiTheme="minorHAnsi" w:hAnsiTheme="minorHAnsi" w:cstheme="minorHAnsi"/>
                <w:sz w:val="24"/>
                <w:szCs w:val="24"/>
              </w:rPr>
            </w:pPr>
          </w:p>
          <w:p w14:paraId="472B3009" w14:textId="32496BA9" w:rsidR="00C91A53" w:rsidRDefault="00C91A53" w:rsidP="00C91A53">
            <w:pPr>
              <w:widowControl/>
              <w:numPr>
                <w:ilvl w:val="0"/>
                <w:numId w:val="3"/>
              </w:numPr>
              <w:autoSpaceDE/>
              <w:autoSpaceDN/>
              <w:jc w:val="both"/>
              <w:rPr>
                <w:rFonts w:asciiTheme="minorHAnsi" w:hAnsiTheme="minorHAnsi" w:cstheme="minorHAnsi"/>
                <w:sz w:val="24"/>
                <w:szCs w:val="24"/>
              </w:rPr>
            </w:pPr>
            <w:r w:rsidRPr="00AE4B11">
              <w:rPr>
                <w:rFonts w:asciiTheme="minorHAnsi" w:hAnsiTheme="minorHAnsi" w:cstheme="minorHAnsi"/>
                <w:sz w:val="24"/>
                <w:szCs w:val="24"/>
              </w:rPr>
              <w:t xml:space="preserve">Have a particular interest and demonstrable experience in </w:t>
            </w:r>
            <w:r>
              <w:rPr>
                <w:rFonts w:asciiTheme="minorHAnsi" w:hAnsiTheme="minorHAnsi" w:cstheme="minorHAnsi"/>
                <w:sz w:val="24"/>
                <w:szCs w:val="24"/>
              </w:rPr>
              <w:t xml:space="preserve">Genitourinary medicine, </w:t>
            </w:r>
            <w:r w:rsidRPr="00AE4B11">
              <w:rPr>
                <w:rFonts w:asciiTheme="minorHAnsi" w:hAnsiTheme="minorHAnsi" w:cstheme="minorHAnsi"/>
                <w:sz w:val="24"/>
                <w:szCs w:val="24"/>
              </w:rPr>
              <w:t>sexual health and HIV</w:t>
            </w:r>
            <w:r>
              <w:rPr>
                <w:rFonts w:asciiTheme="minorHAnsi" w:hAnsiTheme="minorHAnsi" w:cstheme="minorHAnsi"/>
                <w:sz w:val="24"/>
                <w:szCs w:val="24"/>
              </w:rPr>
              <w:t xml:space="preserve"> medicine</w:t>
            </w:r>
            <w:r w:rsidRPr="00AE4B11">
              <w:rPr>
                <w:rFonts w:asciiTheme="minorHAnsi" w:hAnsiTheme="minorHAnsi" w:cstheme="minorHAnsi"/>
                <w:sz w:val="24"/>
                <w:szCs w:val="24"/>
              </w:rPr>
              <w:t>, including development and delivery of HIV prevention</w:t>
            </w:r>
            <w:r>
              <w:rPr>
                <w:rFonts w:asciiTheme="minorHAnsi" w:hAnsiTheme="minorHAnsi" w:cstheme="minorHAnsi"/>
                <w:sz w:val="24"/>
                <w:szCs w:val="24"/>
              </w:rPr>
              <w:t xml:space="preserve"> services (HIV</w:t>
            </w:r>
            <w:r w:rsidRPr="00AE4B11">
              <w:rPr>
                <w:rFonts w:asciiTheme="minorHAnsi" w:hAnsiTheme="minorHAnsi" w:cstheme="minorHAnsi"/>
                <w:sz w:val="24"/>
                <w:szCs w:val="24"/>
              </w:rPr>
              <w:t xml:space="preserve"> Pre-Exposure Prophylaxis</w:t>
            </w:r>
            <w:r>
              <w:rPr>
                <w:rFonts w:asciiTheme="minorHAnsi" w:hAnsiTheme="minorHAnsi" w:cstheme="minorHAnsi"/>
                <w:sz w:val="24"/>
                <w:szCs w:val="24"/>
              </w:rPr>
              <w:t>)</w:t>
            </w:r>
            <w:r w:rsidRPr="00AE4B11">
              <w:rPr>
                <w:rFonts w:asciiTheme="minorHAnsi" w:hAnsiTheme="minorHAnsi" w:cstheme="minorHAnsi"/>
                <w:sz w:val="24"/>
                <w:szCs w:val="24"/>
              </w:rPr>
              <w:t>.</w:t>
            </w:r>
          </w:p>
          <w:p w14:paraId="45B3FA2D" w14:textId="35064390" w:rsidR="00C91A53" w:rsidRPr="00C91A53" w:rsidRDefault="00C91A53" w:rsidP="00C91A53">
            <w:pPr>
              <w:pStyle w:val="ListParagraph"/>
              <w:widowControl/>
              <w:numPr>
                <w:ilvl w:val="0"/>
                <w:numId w:val="3"/>
              </w:numPr>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 xml:space="preserve">Participate in the provision and administration of the full range of HIV and sexual health </w:t>
            </w:r>
            <w:r>
              <w:rPr>
                <w:rFonts w:asciiTheme="minorHAnsi" w:hAnsiTheme="minorHAnsi" w:cstheme="minorHAnsi"/>
                <w:color w:val="000000" w:themeColor="text1"/>
                <w:sz w:val="24"/>
                <w:szCs w:val="24"/>
              </w:rPr>
              <w:t>o</w:t>
            </w:r>
            <w:r w:rsidRPr="006D4F59">
              <w:rPr>
                <w:rFonts w:asciiTheme="minorHAnsi" w:hAnsiTheme="minorHAnsi" w:cstheme="minorHAnsi"/>
                <w:color w:val="000000" w:themeColor="text1"/>
                <w:sz w:val="24"/>
                <w:szCs w:val="24"/>
              </w:rPr>
              <w:t xml:space="preserve">utpatient </w:t>
            </w:r>
            <w:r>
              <w:rPr>
                <w:rFonts w:asciiTheme="minorHAnsi" w:hAnsiTheme="minorHAnsi" w:cstheme="minorHAnsi"/>
                <w:color w:val="000000" w:themeColor="text1"/>
                <w:sz w:val="24"/>
                <w:szCs w:val="24"/>
              </w:rPr>
              <w:t>services</w:t>
            </w:r>
            <w:r w:rsidRPr="006D4F59">
              <w:rPr>
                <w:rFonts w:asciiTheme="minorHAnsi" w:hAnsiTheme="minorHAnsi" w:cstheme="minorHAnsi"/>
                <w:color w:val="000000" w:themeColor="text1"/>
                <w:sz w:val="24"/>
                <w:szCs w:val="24"/>
              </w:rPr>
              <w:t xml:space="preserve"> at </w:t>
            </w:r>
            <w:r>
              <w:rPr>
                <w:rFonts w:asciiTheme="minorHAnsi" w:hAnsiTheme="minorHAnsi" w:cstheme="minorHAnsi"/>
                <w:color w:val="000000" w:themeColor="text1"/>
                <w:sz w:val="24"/>
                <w:szCs w:val="24"/>
              </w:rPr>
              <w:t xml:space="preserve">GMHS and GUIDE Clinic at </w:t>
            </w:r>
            <w:r w:rsidRPr="006D4F59">
              <w:rPr>
                <w:rFonts w:asciiTheme="minorHAnsi" w:hAnsiTheme="minorHAnsi" w:cstheme="minorHAnsi"/>
                <w:color w:val="000000" w:themeColor="text1"/>
                <w:sz w:val="24"/>
                <w:szCs w:val="24"/>
              </w:rPr>
              <w:t>St. James’s Hospital.</w:t>
            </w:r>
          </w:p>
          <w:p w14:paraId="40C78DBE" w14:textId="006177B6" w:rsidR="00C91A53" w:rsidRPr="00AE4B11" w:rsidRDefault="00C91A53" w:rsidP="00C91A53">
            <w:pPr>
              <w:pStyle w:val="Header"/>
              <w:widowControl/>
              <w:numPr>
                <w:ilvl w:val="0"/>
                <w:numId w:val="3"/>
              </w:numPr>
              <w:tabs>
                <w:tab w:val="clear" w:pos="4153"/>
                <w:tab w:val="clear" w:pos="8306"/>
              </w:tabs>
              <w:autoSpaceDE/>
              <w:autoSpaceDN/>
              <w:jc w:val="both"/>
              <w:rPr>
                <w:rFonts w:asciiTheme="minorHAnsi" w:hAnsiTheme="minorHAnsi" w:cstheme="minorHAnsi"/>
                <w:sz w:val="24"/>
                <w:szCs w:val="24"/>
              </w:rPr>
            </w:pPr>
            <w:r w:rsidRPr="00AE4B11">
              <w:rPr>
                <w:rFonts w:asciiTheme="minorHAnsi" w:hAnsiTheme="minorHAnsi" w:cstheme="minorHAnsi"/>
                <w:sz w:val="24"/>
                <w:szCs w:val="24"/>
              </w:rPr>
              <w:t>Together with colleague</w:t>
            </w:r>
            <w:r>
              <w:rPr>
                <w:rFonts w:asciiTheme="minorHAnsi" w:hAnsiTheme="minorHAnsi" w:cstheme="minorHAnsi"/>
                <w:sz w:val="24"/>
                <w:szCs w:val="24"/>
              </w:rPr>
              <w:t>s</w:t>
            </w:r>
            <w:r w:rsidRPr="00AE4B11">
              <w:rPr>
                <w:rFonts w:asciiTheme="minorHAnsi" w:hAnsiTheme="minorHAnsi" w:cstheme="minorHAnsi"/>
                <w:sz w:val="24"/>
                <w:szCs w:val="24"/>
              </w:rPr>
              <w:t xml:space="preserve"> </w:t>
            </w:r>
            <w:r>
              <w:rPr>
                <w:rFonts w:asciiTheme="minorHAnsi" w:hAnsiTheme="minorHAnsi" w:cstheme="minorHAnsi"/>
                <w:sz w:val="24"/>
                <w:szCs w:val="24"/>
              </w:rPr>
              <w:t>in GUIDE</w:t>
            </w:r>
            <w:r w:rsidRPr="00AE4B11">
              <w:rPr>
                <w:rFonts w:asciiTheme="minorHAnsi" w:hAnsiTheme="minorHAnsi" w:cstheme="minorHAnsi"/>
                <w:sz w:val="24"/>
                <w:szCs w:val="24"/>
              </w:rPr>
              <w:t xml:space="preserve"> have a role in shaping policy with regard to the management of sexual health and HIV services, best practice, clinical </w:t>
            </w:r>
            <w:r w:rsidR="001A72E3" w:rsidRPr="00AE4B11">
              <w:rPr>
                <w:rFonts w:asciiTheme="minorHAnsi" w:hAnsiTheme="minorHAnsi" w:cstheme="minorHAnsi"/>
                <w:sz w:val="24"/>
                <w:szCs w:val="24"/>
              </w:rPr>
              <w:t>effectiveness and</w:t>
            </w:r>
            <w:r w:rsidRPr="00AE4B11">
              <w:rPr>
                <w:rFonts w:asciiTheme="minorHAnsi" w:hAnsiTheme="minorHAnsi" w:cstheme="minorHAnsi"/>
                <w:sz w:val="24"/>
                <w:szCs w:val="24"/>
              </w:rPr>
              <w:t xml:space="preserve"> accreditation.</w:t>
            </w:r>
          </w:p>
          <w:p w14:paraId="42958126" w14:textId="77777777" w:rsidR="00C91A53" w:rsidRPr="00AE4B11" w:rsidRDefault="00C91A53" w:rsidP="00C91A53">
            <w:pPr>
              <w:pStyle w:val="Header"/>
              <w:widowControl/>
              <w:numPr>
                <w:ilvl w:val="0"/>
                <w:numId w:val="3"/>
              </w:numPr>
              <w:tabs>
                <w:tab w:val="clear" w:pos="4153"/>
                <w:tab w:val="clear" w:pos="8306"/>
              </w:tabs>
              <w:autoSpaceDE/>
              <w:autoSpaceDN/>
              <w:jc w:val="both"/>
              <w:rPr>
                <w:rFonts w:asciiTheme="minorHAnsi" w:hAnsiTheme="minorHAnsi" w:cstheme="minorHAnsi"/>
                <w:sz w:val="24"/>
                <w:szCs w:val="24"/>
              </w:rPr>
            </w:pPr>
            <w:r w:rsidRPr="00AE4B11">
              <w:rPr>
                <w:rFonts w:asciiTheme="minorHAnsi" w:hAnsiTheme="minorHAnsi" w:cstheme="minorHAnsi"/>
                <w:sz w:val="24"/>
                <w:szCs w:val="24"/>
              </w:rPr>
              <w:t>Work within the Hospital’s Governance and Clinical Directorate structure.</w:t>
            </w:r>
          </w:p>
          <w:p w14:paraId="7BB1AD00" w14:textId="43B18257" w:rsidR="005A42B0" w:rsidRPr="006D4F59"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 xml:space="preserve">Participate in and maintain responsibility for Quality Improvement and Clinical Audit </w:t>
            </w:r>
            <w:proofErr w:type="spellStart"/>
            <w:r w:rsidRPr="006D4F59">
              <w:rPr>
                <w:rFonts w:asciiTheme="minorHAnsi" w:hAnsiTheme="minorHAnsi" w:cstheme="minorHAnsi"/>
                <w:color w:val="000000" w:themeColor="text1"/>
                <w:sz w:val="24"/>
                <w:szCs w:val="24"/>
              </w:rPr>
              <w:t>programmes</w:t>
            </w:r>
            <w:proofErr w:type="spellEnd"/>
            <w:r w:rsidRPr="006D4F59">
              <w:rPr>
                <w:rFonts w:asciiTheme="minorHAnsi" w:hAnsiTheme="minorHAnsi" w:cstheme="minorHAnsi"/>
                <w:color w:val="000000" w:themeColor="text1"/>
                <w:sz w:val="24"/>
                <w:szCs w:val="24"/>
              </w:rPr>
              <w:t xml:space="preserve"> within GUIDE</w:t>
            </w:r>
            <w:r w:rsidR="00C91A53">
              <w:rPr>
                <w:rFonts w:asciiTheme="minorHAnsi" w:hAnsiTheme="minorHAnsi" w:cstheme="minorHAnsi"/>
                <w:color w:val="000000" w:themeColor="text1"/>
                <w:sz w:val="24"/>
                <w:szCs w:val="24"/>
              </w:rPr>
              <w:t xml:space="preserve"> and GMHS</w:t>
            </w:r>
            <w:r w:rsidRPr="006D4F59">
              <w:rPr>
                <w:rFonts w:asciiTheme="minorHAnsi" w:hAnsiTheme="minorHAnsi" w:cstheme="minorHAnsi"/>
                <w:color w:val="000000" w:themeColor="text1"/>
                <w:sz w:val="24"/>
                <w:szCs w:val="24"/>
              </w:rPr>
              <w:t xml:space="preserve"> in conjunction with colleagues and in accordance with hospital </w:t>
            </w:r>
            <w:r w:rsidR="00C91A53">
              <w:rPr>
                <w:rFonts w:asciiTheme="minorHAnsi" w:hAnsiTheme="minorHAnsi" w:cstheme="minorHAnsi"/>
                <w:color w:val="000000" w:themeColor="text1"/>
                <w:sz w:val="24"/>
                <w:szCs w:val="24"/>
              </w:rPr>
              <w:t xml:space="preserve">and HSE </w:t>
            </w:r>
            <w:r w:rsidRPr="006D4F59">
              <w:rPr>
                <w:rFonts w:asciiTheme="minorHAnsi" w:hAnsiTheme="minorHAnsi" w:cstheme="minorHAnsi"/>
                <w:color w:val="000000" w:themeColor="text1"/>
                <w:sz w:val="24"/>
                <w:szCs w:val="24"/>
              </w:rPr>
              <w:t xml:space="preserve">clinical governance structures. </w:t>
            </w:r>
          </w:p>
          <w:p w14:paraId="6A46C5A5" w14:textId="0BE228D6" w:rsidR="005A42B0"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Provide cross cover for colleagues as appropriate</w:t>
            </w:r>
          </w:p>
          <w:p w14:paraId="7E455C6D" w14:textId="732160EE" w:rsidR="00C91A53" w:rsidRDefault="00C91A53" w:rsidP="00C91A53">
            <w:pPr>
              <w:widowControl/>
              <w:numPr>
                <w:ilvl w:val="0"/>
                <w:numId w:val="3"/>
              </w:numPr>
              <w:autoSpaceDE/>
              <w:autoSpaceDN/>
              <w:jc w:val="both"/>
              <w:rPr>
                <w:rFonts w:asciiTheme="minorHAnsi" w:hAnsiTheme="minorHAnsi" w:cstheme="minorHAnsi"/>
                <w:sz w:val="24"/>
                <w:szCs w:val="24"/>
              </w:rPr>
            </w:pPr>
            <w:r>
              <w:rPr>
                <w:rFonts w:asciiTheme="minorHAnsi" w:hAnsiTheme="minorHAnsi" w:cstheme="minorHAnsi"/>
                <w:sz w:val="24"/>
                <w:szCs w:val="24"/>
              </w:rPr>
              <w:t xml:space="preserve">Have the opportunity to participate in the HIV/ID </w:t>
            </w:r>
            <w:r w:rsidR="005046D7">
              <w:rPr>
                <w:rFonts w:asciiTheme="minorHAnsi" w:hAnsiTheme="minorHAnsi" w:cstheme="minorHAnsi"/>
                <w:sz w:val="24"/>
                <w:szCs w:val="24"/>
              </w:rPr>
              <w:t>on call</w:t>
            </w:r>
            <w:r>
              <w:rPr>
                <w:rFonts w:asciiTheme="minorHAnsi" w:hAnsiTheme="minorHAnsi" w:cstheme="minorHAnsi"/>
                <w:sz w:val="24"/>
                <w:szCs w:val="24"/>
              </w:rPr>
              <w:t xml:space="preserve"> </w:t>
            </w:r>
            <w:proofErr w:type="spellStart"/>
            <w:r>
              <w:rPr>
                <w:rFonts w:asciiTheme="minorHAnsi" w:hAnsiTheme="minorHAnsi" w:cstheme="minorHAnsi"/>
                <w:sz w:val="24"/>
                <w:szCs w:val="24"/>
              </w:rPr>
              <w:t>rota</w:t>
            </w:r>
            <w:proofErr w:type="spellEnd"/>
            <w:r>
              <w:rPr>
                <w:rFonts w:asciiTheme="minorHAnsi" w:hAnsiTheme="minorHAnsi" w:cstheme="minorHAnsi"/>
                <w:sz w:val="24"/>
                <w:szCs w:val="24"/>
              </w:rPr>
              <w:t xml:space="preserve"> at St James’s Hospital.</w:t>
            </w:r>
          </w:p>
          <w:p w14:paraId="462B1637" w14:textId="58E65259" w:rsidR="00C91A53" w:rsidRPr="00C91A53" w:rsidRDefault="00C91A53" w:rsidP="00C91A53">
            <w:pPr>
              <w:widowControl/>
              <w:numPr>
                <w:ilvl w:val="0"/>
                <w:numId w:val="3"/>
              </w:numPr>
              <w:autoSpaceDE/>
              <w:autoSpaceDN/>
              <w:jc w:val="both"/>
              <w:rPr>
                <w:rFonts w:asciiTheme="minorHAnsi" w:hAnsiTheme="minorHAnsi" w:cstheme="minorHAnsi"/>
                <w:sz w:val="24"/>
                <w:szCs w:val="24"/>
              </w:rPr>
            </w:pPr>
            <w:r>
              <w:rPr>
                <w:rFonts w:asciiTheme="minorHAnsi" w:hAnsiTheme="minorHAnsi" w:cstheme="minorHAnsi"/>
                <w:sz w:val="24"/>
                <w:szCs w:val="24"/>
              </w:rPr>
              <w:t>Must b</w:t>
            </w:r>
            <w:r w:rsidRPr="005A42B0">
              <w:rPr>
                <w:rFonts w:asciiTheme="minorHAnsi" w:hAnsiTheme="minorHAnsi" w:cstheme="minorHAnsi"/>
                <w:sz w:val="24"/>
                <w:szCs w:val="24"/>
              </w:rPr>
              <w:t xml:space="preserve">e eligible to be an RCPI approved trainer in Genitourinary Medicine </w:t>
            </w:r>
          </w:p>
          <w:p w14:paraId="38193378" w14:textId="77777777" w:rsidR="005A42B0"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Participate in teaching, including undergraduate teaching, postgraduate teaching and other teachin</w:t>
            </w:r>
            <w:r>
              <w:rPr>
                <w:rFonts w:asciiTheme="minorHAnsi" w:hAnsiTheme="minorHAnsi" w:cstheme="minorHAnsi"/>
                <w:color w:val="000000" w:themeColor="text1"/>
                <w:sz w:val="24"/>
                <w:szCs w:val="24"/>
              </w:rPr>
              <w:t xml:space="preserve">g commitments of the department </w:t>
            </w:r>
            <w:r w:rsidRPr="006D4F59">
              <w:rPr>
                <w:rFonts w:asciiTheme="minorHAnsi" w:hAnsiTheme="minorHAnsi" w:cstheme="minorHAnsi"/>
                <w:color w:val="000000" w:themeColor="text1"/>
                <w:sz w:val="24"/>
                <w:szCs w:val="24"/>
              </w:rPr>
              <w:t>for medical, nursing and allied staff.</w:t>
            </w:r>
          </w:p>
          <w:p w14:paraId="39D844FB" w14:textId="66E198D4"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Delivery of undergraduate teaching and examinations in Trinity</w:t>
            </w:r>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College </w:t>
            </w:r>
            <w:r w:rsidR="001A72E3">
              <w:rPr>
                <w:rFonts w:asciiTheme="minorHAnsi" w:hAnsiTheme="minorHAnsi" w:cstheme="minorHAnsi"/>
                <w:sz w:val="24"/>
                <w:szCs w:val="24"/>
              </w:rPr>
              <w:t xml:space="preserve">Dublin </w:t>
            </w:r>
            <w:r w:rsidR="001A72E3" w:rsidRPr="006D4F59">
              <w:rPr>
                <w:rFonts w:asciiTheme="minorHAnsi" w:hAnsiTheme="minorHAnsi" w:cstheme="minorHAnsi"/>
                <w:sz w:val="24"/>
                <w:szCs w:val="24"/>
              </w:rPr>
              <w:t>School</w:t>
            </w:r>
            <w:r w:rsidRPr="006D4F59">
              <w:rPr>
                <w:rFonts w:asciiTheme="minorHAnsi" w:hAnsiTheme="minorHAnsi" w:cstheme="minorHAnsi"/>
                <w:sz w:val="24"/>
                <w:szCs w:val="24"/>
              </w:rPr>
              <w:t xml:space="preserve"> of Medicine</w:t>
            </w:r>
          </w:p>
          <w:p w14:paraId="38DB287A" w14:textId="5A962E89" w:rsidR="005A42B0" w:rsidRPr="006D4F59"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 xml:space="preserve">Maintain a </w:t>
            </w:r>
            <w:r w:rsidR="001A72E3" w:rsidRPr="006D4F59">
              <w:rPr>
                <w:rFonts w:asciiTheme="minorHAnsi" w:hAnsiTheme="minorHAnsi" w:cstheme="minorHAnsi"/>
                <w:color w:val="000000" w:themeColor="text1"/>
                <w:sz w:val="24"/>
                <w:szCs w:val="24"/>
              </w:rPr>
              <w:t>Programme</w:t>
            </w:r>
            <w:r w:rsidRPr="006D4F59">
              <w:rPr>
                <w:rFonts w:asciiTheme="minorHAnsi" w:hAnsiTheme="minorHAnsi" w:cstheme="minorHAnsi"/>
                <w:color w:val="000000" w:themeColor="text1"/>
                <w:sz w:val="24"/>
                <w:szCs w:val="24"/>
              </w:rPr>
              <w:t xml:space="preserve"> of continuing medical education applicable to the responsibilities of the post</w:t>
            </w:r>
          </w:p>
          <w:p w14:paraId="4AAC9B40" w14:textId="77777777" w:rsidR="005A42B0" w:rsidRPr="006D4F59"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 xml:space="preserve">Attend and participate in meetings relevant to the post </w:t>
            </w:r>
          </w:p>
          <w:p w14:paraId="5ACCB24D" w14:textId="77777777" w:rsidR="005A42B0" w:rsidRPr="006D4F59" w:rsidRDefault="005A42B0" w:rsidP="00C91A53">
            <w:pPr>
              <w:pStyle w:val="Header"/>
              <w:widowControl/>
              <w:numPr>
                <w:ilvl w:val="0"/>
                <w:numId w:val="3"/>
              </w:numPr>
              <w:tabs>
                <w:tab w:val="clear" w:pos="4153"/>
                <w:tab w:val="clear" w:pos="8306"/>
              </w:tabs>
              <w:autoSpaceDE/>
              <w:autoSpaceDN/>
              <w:spacing w:after="60"/>
              <w:jc w:val="both"/>
              <w:rPr>
                <w:rFonts w:asciiTheme="minorHAnsi" w:hAnsiTheme="minorHAnsi" w:cstheme="minorHAnsi"/>
                <w:color w:val="000000" w:themeColor="text1"/>
                <w:sz w:val="24"/>
                <w:szCs w:val="24"/>
              </w:rPr>
            </w:pPr>
            <w:r w:rsidRPr="006D4F59">
              <w:rPr>
                <w:rFonts w:asciiTheme="minorHAnsi" w:hAnsiTheme="minorHAnsi" w:cstheme="minorHAnsi"/>
                <w:color w:val="000000" w:themeColor="text1"/>
                <w:sz w:val="24"/>
                <w:szCs w:val="24"/>
              </w:rPr>
              <w:t>Liai</w:t>
            </w:r>
            <w:r>
              <w:rPr>
                <w:rFonts w:asciiTheme="minorHAnsi" w:hAnsiTheme="minorHAnsi" w:cstheme="minorHAnsi"/>
                <w:color w:val="000000" w:themeColor="text1"/>
                <w:sz w:val="24"/>
                <w:szCs w:val="24"/>
              </w:rPr>
              <w:t>se with relevant senior m</w:t>
            </w:r>
            <w:r w:rsidRPr="006D4F59">
              <w:rPr>
                <w:rFonts w:asciiTheme="minorHAnsi" w:hAnsiTheme="minorHAnsi" w:cstheme="minorHAnsi"/>
                <w:color w:val="000000" w:themeColor="text1"/>
                <w:sz w:val="24"/>
                <w:szCs w:val="24"/>
              </w:rPr>
              <w:t xml:space="preserve">edical, </w:t>
            </w:r>
            <w:r>
              <w:rPr>
                <w:rFonts w:asciiTheme="minorHAnsi" w:hAnsiTheme="minorHAnsi" w:cstheme="minorHAnsi"/>
                <w:color w:val="000000" w:themeColor="text1"/>
                <w:sz w:val="24"/>
                <w:szCs w:val="24"/>
              </w:rPr>
              <w:t>n</w:t>
            </w:r>
            <w:r w:rsidRPr="006D4F59">
              <w:rPr>
                <w:rFonts w:asciiTheme="minorHAnsi" w:hAnsiTheme="minorHAnsi" w:cstheme="minorHAnsi"/>
                <w:color w:val="000000" w:themeColor="text1"/>
                <w:sz w:val="24"/>
                <w:szCs w:val="24"/>
              </w:rPr>
              <w:t xml:space="preserve">ursing and management teams in all matters </w:t>
            </w:r>
            <w:r>
              <w:rPr>
                <w:rFonts w:asciiTheme="minorHAnsi" w:hAnsiTheme="minorHAnsi" w:cstheme="minorHAnsi"/>
                <w:color w:val="000000" w:themeColor="text1"/>
                <w:sz w:val="24"/>
                <w:szCs w:val="24"/>
              </w:rPr>
              <w:t>relevant</w:t>
            </w:r>
            <w:r w:rsidRPr="006D4F59">
              <w:rPr>
                <w:rFonts w:asciiTheme="minorHAnsi" w:hAnsiTheme="minorHAnsi" w:cstheme="minorHAnsi"/>
                <w:color w:val="000000" w:themeColor="text1"/>
                <w:sz w:val="24"/>
                <w:szCs w:val="24"/>
              </w:rPr>
              <w:t xml:space="preserve"> to the </w:t>
            </w:r>
            <w:r>
              <w:rPr>
                <w:rFonts w:asciiTheme="minorHAnsi" w:hAnsiTheme="minorHAnsi" w:cstheme="minorHAnsi"/>
                <w:color w:val="000000" w:themeColor="text1"/>
                <w:sz w:val="24"/>
                <w:szCs w:val="24"/>
              </w:rPr>
              <w:t>department</w:t>
            </w:r>
            <w:r w:rsidRPr="006D4F59">
              <w:rPr>
                <w:rFonts w:asciiTheme="minorHAnsi" w:hAnsiTheme="minorHAnsi" w:cstheme="minorHAnsi"/>
                <w:color w:val="000000" w:themeColor="text1"/>
                <w:sz w:val="24"/>
                <w:szCs w:val="24"/>
              </w:rPr>
              <w:t xml:space="preserve">. </w:t>
            </w:r>
          </w:p>
          <w:p w14:paraId="79E11BD2"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Teaching and training supervision of Higher Specialist Trainees</w:t>
            </w:r>
          </w:p>
          <w:p w14:paraId="4BF53E0D"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Teaching and training supervision of Basic Specialist Trainees</w:t>
            </w:r>
          </w:p>
          <w:p w14:paraId="1A5A4ED1"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Teaching and training supervision of GP trainees</w:t>
            </w:r>
          </w:p>
          <w:p w14:paraId="158E7674"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 xml:space="preserve">Training supervision of nurse prescribing </w:t>
            </w:r>
            <w:r>
              <w:rPr>
                <w:rFonts w:asciiTheme="minorHAnsi" w:hAnsiTheme="minorHAnsi" w:cstheme="minorHAnsi"/>
                <w:sz w:val="24"/>
                <w:szCs w:val="24"/>
              </w:rPr>
              <w:t xml:space="preserve">and Advance nurse practitioner </w:t>
            </w:r>
            <w:r w:rsidRPr="006D4F59">
              <w:rPr>
                <w:rFonts w:asciiTheme="minorHAnsi" w:hAnsiTheme="minorHAnsi" w:cstheme="minorHAnsi"/>
                <w:sz w:val="24"/>
                <w:szCs w:val="24"/>
              </w:rPr>
              <w:t>candidates</w:t>
            </w:r>
          </w:p>
          <w:p w14:paraId="15630168" w14:textId="5FC0517F"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Participation in Public Health convened outbreak control teams as required (</w:t>
            </w:r>
            <w:proofErr w:type="gramStart"/>
            <w:r>
              <w:rPr>
                <w:rFonts w:asciiTheme="minorHAnsi" w:hAnsiTheme="minorHAnsi" w:cstheme="minorHAnsi"/>
                <w:sz w:val="24"/>
                <w:szCs w:val="24"/>
              </w:rPr>
              <w:t>e.g.</w:t>
            </w:r>
            <w:proofErr w:type="gramEnd"/>
            <w:r w:rsidR="00C91A53">
              <w:rPr>
                <w:rFonts w:asciiTheme="minorHAnsi" w:hAnsiTheme="minorHAnsi" w:cstheme="minorHAnsi"/>
                <w:sz w:val="24"/>
                <w:szCs w:val="24"/>
              </w:rPr>
              <w:t xml:space="preserve"> </w:t>
            </w:r>
            <w:proofErr w:type="spellStart"/>
            <w:r w:rsidRPr="006D4F59">
              <w:rPr>
                <w:rFonts w:asciiTheme="minorHAnsi" w:hAnsiTheme="minorHAnsi" w:cstheme="minorHAnsi"/>
                <w:sz w:val="24"/>
                <w:szCs w:val="24"/>
              </w:rPr>
              <w:t>Mpox</w:t>
            </w:r>
            <w:proofErr w:type="spellEnd"/>
            <w:r w:rsidRPr="006D4F59">
              <w:rPr>
                <w:rFonts w:asciiTheme="minorHAnsi" w:hAnsiTheme="minorHAnsi" w:cstheme="minorHAnsi"/>
                <w:sz w:val="24"/>
                <w:szCs w:val="24"/>
              </w:rPr>
              <w:t xml:space="preserve"> and Syphilis)</w:t>
            </w:r>
          </w:p>
          <w:p w14:paraId="1239AE47"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 xml:space="preserve">Participation in mandated Infectious Diseases reporting to Public Health </w:t>
            </w:r>
          </w:p>
          <w:p w14:paraId="49DF95CF"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 xml:space="preserve">Participation in future service development </w:t>
            </w:r>
          </w:p>
          <w:p w14:paraId="218312FF"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Participation in strategy and policy development with HSE and Department of Health as required</w:t>
            </w:r>
          </w:p>
          <w:p w14:paraId="3C7C9096"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Communication with GP colleagues</w:t>
            </w:r>
          </w:p>
          <w:p w14:paraId="11C39D11" w14:textId="77777777" w:rsidR="005A42B0" w:rsidRPr="006D4F59" w:rsidRDefault="005A42B0" w:rsidP="00C91A53">
            <w:pPr>
              <w:pStyle w:val="TableParagraph"/>
              <w:numPr>
                <w:ilvl w:val="0"/>
                <w:numId w:val="3"/>
              </w:numPr>
              <w:spacing w:before="1" w:line="300" w:lineRule="atLeast"/>
              <w:ind w:right="141"/>
              <w:rPr>
                <w:rFonts w:asciiTheme="minorHAnsi" w:hAnsiTheme="minorHAnsi" w:cstheme="minorHAnsi"/>
                <w:sz w:val="24"/>
                <w:szCs w:val="24"/>
              </w:rPr>
            </w:pPr>
            <w:r w:rsidRPr="006D4F59">
              <w:rPr>
                <w:rFonts w:asciiTheme="minorHAnsi" w:hAnsiTheme="minorHAnsi" w:cstheme="minorHAnsi"/>
                <w:sz w:val="24"/>
                <w:szCs w:val="24"/>
              </w:rPr>
              <w:t>Supervision of results management for junior and nursing colleagues</w:t>
            </w:r>
          </w:p>
          <w:p w14:paraId="186D4F19" w14:textId="77777777" w:rsidR="005A42B0" w:rsidRPr="006D4F59" w:rsidRDefault="005A42B0" w:rsidP="00C91A53">
            <w:pPr>
              <w:pStyle w:val="Header"/>
              <w:widowControl/>
              <w:numPr>
                <w:ilvl w:val="0"/>
                <w:numId w:val="3"/>
              </w:numPr>
              <w:tabs>
                <w:tab w:val="clear" w:pos="4153"/>
                <w:tab w:val="clear" w:pos="8306"/>
              </w:tabs>
              <w:autoSpaceDE/>
              <w:autoSpaceDN/>
              <w:jc w:val="both"/>
              <w:rPr>
                <w:rFonts w:asciiTheme="minorHAnsi" w:hAnsiTheme="minorHAnsi" w:cstheme="minorHAnsi"/>
                <w:color w:val="000000" w:themeColor="text1"/>
                <w:sz w:val="24"/>
                <w:szCs w:val="24"/>
              </w:rPr>
            </w:pPr>
            <w:r>
              <w:rPr>
                <w:rFonts w:asciiTheme="minorHAnsi" w:hAnsiTheme="minorHAnsi" w:cstheme="minorHAnsi"/>
                <w:sz w:val="24"/>
                <w:szCs w:val="24"/>
              </w:rPr>
              <w:t>Electronic</w:t>
            </w:r>
            <w:r w:rsidRPr="006D4F59">
              <w:rPr>
                <w:rFonts w:asciiTheme="minorHAnsi" w:hAnsiTheme="minorHAnsi" w:cstheme="minorHAnsi"/>
                <w:sz w:val="24"/>
                <w:szCs w:val="24"/>
              </w:rPr>
              <w:t xml:space="preserve"> results management</w:t>
            </w:r>
          </w:p>
          <w:p w14:paraId="3C8D5C3D" w14:textId="77777777" w:rsidR="00412D1B" w:rsidRPr="00AE4B11" w:rsidRDefault="00412D1B" w:rsidP="00C91A53">
            <w:pPr>
              <w:pStyle w:val="Header"/>
              <w:widowControl/>
              <w:tabs>
                <w:tab w:val="clear" w:pos="4153"/>
                <w:tab w:val="clear" w:pos="8306"/>
              </w:tabs>
              <w:autoSpaceDE/>
              <w:autoSpaceDN/>
              <w:jc w:val="both"/>
              <w:rPr>
                <w:rFonts w:asciiTheme="minorHAnsi" w:hAnsiTheme="minorHAnsi" w:cstheme="minorHAnsi"/>
                <w:sz w:val="24"/>
                <w:szCs w:val="24"/>
              </w:rPr>
            </w:pPr>
          </w:p>
        </w:tc>
      </w:tr>
      <w:tr w:rsidR="003D46B4" w:rsidRPr="00AE4B11" w14:paraId="5409CFFB" w14:textId="77777777" w:rsidTr="00DB10E4">
        <w:tc>
          <w:tcPr>
            <w:tcW w:w="2840" w:type="dxa"/>
          </w:tcPr>
          <w:p w14:paraId="3FF54733" w14:textId="4D713727" w:rsidR="003D46B4" w:rsidRPr="00AE4B11" w:rsidRDefault="003D46B4" w:rsidP="003D46B4">
            <w:pPr>
              <w:pStyle w:val="Heading2"/>
              <w:rPr>
                <w:rFonts w:asciiTheme="minorHAnsi" w:hAnsiTheme="minorHAnsi" w:cstheme="minorHAnsi"/>
                <w:i w:val="0"/>
                <w:iCs w:val="0"/>
                <w:sz w:val="24"/>
                <w:szCs w:val="24"/>
              </w:rPr>
            </w:pPr>
            <w:r>
              <w:rPr>
                <w:rFonts w:asciiTheme="minorHAnsi" w:hAnsiTheme="minorHAnsi" w:cstheme="minorHAnsi"/>
                <w:i w:val="0"/>
                <w:sz w:val="24"/>
                <w:szCs w:val="24"/>
              </w:rPr>
              <w:lastRenderedPageBreak/>
              <w:t>Skills/ Competencies/Knowledge</w:t>
            </w:r>
          </w:p>
        </w:tc>
        <w:tc>
          <w:tcPr>
            <w:tcW w:w="7934" w:type="dxa"/>
          </w:tcPr>
          <w:p w14:paraId="0B5DB8ED" w14:textId="1D981257" w:rsidR="003D46B4" w:rsidRDefault="003D46B4" w:rsidP="003D46B4">
            <w:pPr>
              <w:pStyle w:val="BodyText2"/>
              <w:spacing w:after="10" w:line="300" w:lineRule="atLeast"/>
              <w:contextualSpacing/>
              <w:rPr>
                <w:rFonts w:ascii="Calibri" w:hAnsi="Calibri" w:cs="Times New Roman"/>
                <w:sz w:val="22"/>
                <w:szCs w:val="22"/>
              </w:rPr>
            </w:pPr>
            <w:r>
              <w:rPr>
                <w:rFonts w:ascii="Calibri" w:hAnsi="Calibri" w:cs="Times New Roman"/>
                <w:b/>
                <w:sz w:val="22"/>
                <w:szCs w:val="22"/>
              </w:rPr>
              <w:t xml:space="preserve">Clinical Care: </w:t>
            </w:r>
            <w:r w:rsidRPr="00316075">
              <w:rPr>
                <w:rFonts w:ascii="Calibri" w:hAnsi="Calibri" w:cs="Times New Roman"/>
                <w:sz w:val="22"/>
                <w:szCs w:val="22"/>
              </w:rPr>
              <w:t>To demonstrate the ability to provide</w:t>
            </w:r>
            <w:r>
              <w:rPr>
                <w:rFonts w:ascii="Calibri" w:hAnsi="Calibri" w:cs="Times New Roman"/>
                <w:sz w:val="22"/>
                <w:szCs w:val="22"/>
              </w:rPr>
              <w:t xml:space="preserve"> a level of clinical care required by this post according to the standards and requirements set by statutory and regulatory bodies </w:t>
            </w:r>
            <w:proofErr w:type="gramStart"/>
            <w:r>
              <w:rPr>
                <w:rFonts w:ascii="Calibri" w:hAnsi="Calibri" w:cs="Times New Roman"/>
                <w:sz w:val="22"/>
                <w:szCs w:val="22"/>
              </w:rPr>
              <w:t>e.g.</w:t>
            </w:r>
            <w:proofErr w:type="gramEnd"/>
            <w:r>
              <w:rPr>
                <w:rFonts w:ascii="Calibri" w:hAnsi="Calibri" w:cs="Times New Roman"/>
                <w:sz w:val="22"/>
                <w:szCs w:val="22"/>
              </w:rPr>
              <w:t xml:space="preserve"> RCPI, Medical Council</w:t>
            </w:r>
            <w:r w:rsidR="00EE61E0">
              <w:rPr>
                <w:rFonts w:ascii="Calibri" w:hAnsi="Calibri" w:cs="Times New Roman"/>
                <w:sz w:val="22"/>
                <w:szCs w:val="22"/>
              </w:rPr>
              <w:t xml:space="preserve"> of Ireland.</w:t>
            </w:r>
          </w:p>
          <w:p w14:paraId="258C02D6" w14:textId="77777777" w:rsidR="003D46B4" w:rsidRDefault="003D46B4" w:rsidP="003D46B4">
            <w:pPr>
              <w:pStyle w:val="BodyText2"/>
              <w:spacing w:after="10" w:line="240" w:lineRule="atLeast"/>
              <w:rPr>
                <w:rFonts w:ascii="Calibri" w:hAnsi="Calibri" w:cs="Times New Roman"/>
                <w:b/>
                <w:sz w:val="22"/>
                <w:szCs w:val="22"/>
              </w:rPr>
            </w:pPr>
          </w:p>
          <w:p w14:paraId="0755A210" w14:textId="77777777" w:rsidR="003D46B4" w:rsidRPr="0072194C" w:rsidRDefault="003D46B4" w:rsidP="003D46B4">
            <w:pPr>
              <w:pStyle w:val="BodyText2"/>
              <w:spacing w:after="10" w:line="240" w:lineRule="atLeast"/>
              <w:rPr>
                <w:rFonts w:ascii="Calibri" w:hAnsi="Calibri" w:cs="Times New Roman"/>
                <w:sz w:val="22"/>
                <w:szCs w:val="22"/>
              </w:rPr>
            </w:pPr>
            <w:r w:rsidRPr="00881EBD">
              <w:rPr>
                <w:rFonts w:ascii="Calibri" w:hAnsi="Calibri" w:cs="Times New Roman"/>
                <w:b/>
                <w:sz w:val="22"/>
                <w:szCs w:val="22"/>
              </w:rPr>
              <w:t>Communication:</w:t>
            </w:r>
            <w:r w:rsidRPr="0072194C">
              <w:rPr>
                <w:rFonts w:ascii="Calibri" w:hAnsi="Calibri" w:cs="Times New Roman"/>
                <w:sz w:val="22"/>
                <w:szCs w:val="22"/>
              </w:rPr>
              <w:t xml:space="preserve"> To illustrate a high level of verbal and non-verbal skills in order to effectively communicate with and relate to patients and / or parents / family, colleagues, hospital staff and management.</w:t>
            </w:r>
          </w:p>
          <w:p w14:paraId="7B36FCE0" w14:textId="77777777" w:rsidR="003D46B4" w:rsidRPr="0072194C" w:rsidRDefault="003D46B4" w:rsidP="003D46B4">
            <w:pPr>
              <w:pStyle w:val="BodyText2"/>
              <w:spacing w:after="10" w:line="240" w:lineRule="atLeast"/>
              <w:rPr>
                <w:rFonts w:ascii="Calibri" w:hAnsi="Calibri" w:cs="Times New Roman"/>
                <w:sz w:val="22"/>
                <w:szCs w:val="22"/>
              </w:rPr>
            </w:pPr>
          </w:p>
          <w:p w14:paraId="07901F01" w14:textId="77777777" w:rsidR="003D46B4" w:rsidRPr="0072194C" w:rsidRDefault="003D46B4" w:rsidP="003D46B4">
            <w:pPr>
              <w:pStyle w:val="BodyText2"/>
              <w:spacing w:after="10" w:line="240" w:lineRule="atLeast"/>
              <w:rPr>
                <w:rFonts w:ascii="Calibri" w:hAnsi="Calibri" w:cs="Times New Roman"/>
                <w:sz w:val="22"/>
                <w:szCs w:val="22"/>
              </w:rPr>
            </w:pPr>
            <w:r>
              <w:rPr>
                <w:rFonts w:ascii="Calibri" w:hAnsi="Calibri" w:cs="Times New Roman"/>
                <w:b/>
                <w:sz w:val="22"/>
                <w:szCs w:val="22"/>
              </w:rPr>
              <w:t xml:space="preserve">Leadership and </w:t>
            </w:r>
            <w:r w:rsidRPr="00881EBD">
              <w:rPr>
                <w:rFonts w:ascii="Calibri" w:hAnsi="Calibri" w:cs="Times New Roman"/>
                <w:b/>
                <w:sz w:val="22"/>
                <w:szCs w:val="22"/>
              </w:rPr>
              <w:t>Management Skills</w:t>
            </w:r>
            <w:r w:rsidRPr="0072194C">
              <w:rPr>
                <w:rFonts w:ascii="Calibri" w:hAnsi="Calibri" w:cs="Times New Roman"/>
                <w:sz w:val="22"/>
                <w:szCs w:val="22"/>
              </w:rPr>
              <w:t>: To demonstrate a satisfactory level of proficiency so as to enable the appointee to manage his/her staff and service and to be able to interact with and participate in hospital management structures as required.  Furthermore, the appointee should demonstrate the ability to lead, supervise and be responsible for the clinical work of his / her multi-professional team.</w:t>
            </w:r>
          </w:p>
          <w:p w14:paraId="3F022621" w14:textId="77777777" w:rsidR="003D46B4" w:rsidRPr="0072194C" w:rsidRDefault="003D46B4" w:rsidP="003D46B4">
            <w:pPr>
              <w:pStyle w:val="BodyText2"/>
              <w:spacing w:after="10" w:line="240" w:lineRule="atLeast"/>
              <w:rPr>
                <w:rFonts w:ascii="Calibri" w:hAnsi="Calibri" w:cs="Times New Roman"/>
                <w:sz w:val="22"/>
                <w:szCs w:val="22"/>
              </w:rPr>
            </w:pPr>
          </w:p>
          <w:p w14:paraId="507DA5BD" w14:textId="77777777" w:rsidR="003D46B4" w:rsidRPr="0072194C" w:rsidRDefault="003D46B4" w:rsidP="003D46B4">
            <w:pPr>
              <w:pStyle w:val="BodyText2"/>
              <w:spacing w:after="10" w:line="240" w:lineRule="atLeast"/>
              <w:rPr>
                <w:rFonts w:ascii="Calibri" w:hAnsi="Calibri" w:cs="Times New Roman"/>
                <w:sz w:val="22"/>
                <w:szCs w:val="22"/>
              </w:rPr>
            </w:pPr>
            <w:r w:rsidRPr="00881EBD">
              <w:rPr>
                <w:rFonts w:ascii="Calibri" w:hAnsi="Calibri" w:cs="Times New Roman"/>
                <w:b/>
                <w:sz w:val="22"/>
                <w:szCs w:val="22"/>
              </w:rPr>
              <w:t>Teaching</w:t>
            </w:r>
            <w:r w:rsidRPr="0072194C">
              <w:rPr>
                <w:rFonts w:ascii="Calibri" w:hAnsi="Calibri" w:cs="Times New Roman"/>
                <w:sz w:val="22"/>
                <w:szCs w:val="22"/>
              </w:rPr>
              <w:t xml:space="preserve">: To demonstrate skills required for educational training to medical students, </w:t>
            </w:r>
            <w:r>
              <w:rPr>
                <w:rFonts w:ascii="Calibri" w:hAnsi="Calibri" w:cs="Times New Roman"/>
                <w:sz w:val="22"/>
                <w:szCs w:val="22"/>
              </w:rPr>
              <w:t>and other healthcare professional</w:t>
            </w:r>
            <w:r w:rsidRPr="0072194C">
              <w:rPr>
                <w:rFonts w:ascii="Calibri" w:hAnsi="Calibri" w:cs="Times New Roman"/>
                <w:sz w:val="22"/>
                <w:szCs w:val="22"/>
              </w:rPr>
              <w:t>s.</w:t>
            </w:r>
          </w:p>
          <w:p w14:paraId="7F4C371F" w14:textId="77777777" w:rsidR="003D46B4" w:rsidRPr="0072194C" w:rsidRDefault="003D46B4" w:rsidP="003D46B4">
            <w:pPr>
              <w:pStyle w:val="BodyText2"/>
              <w:spacing w:after="10" w:line="240" w:lineRule="atLeast"/>
              <w:rPr>
                <w:rFonts w:ascii="Calibri" w:hAnsi="Calibri" w:cs="Times New Roman"/>
                <w:sz w:val="22"/>
                <w:szCs w:val="22"/>
              </w:rPr>
            </w:pPr>
          </w:p>
          <w:p w14:paraId="29EB9CF2" w14:textId="16140850" w:rsidR="003D46B4" w:rsidRPr="0072194C" w:rsidRDefault="003D46B4" w:rsidP="003D46B4">
            <w:pPr>
              <w:pStyle w:val="BodyText2"/>
              <w:spacing w:after="10" w:line="240" w:lineRule="atLeast"/>
              <w:rPr>
                <w:rFonts w:ascii="Calibri" w:hAnsi="Calibri" w:cs="Times New Roman"/>
                <w:sz w:val="22"/>
                <w:szCs w:val="22"/>
              </w:rPr>
            </w:pPr>
            <w:r w:rsidRPr="00881EBD">
              <w:rPr>
                <w:rFonts w:ascii="Calibri" w:hAnsi="Calibri" w:cs="Times New Roman"/>
                <w:b/>
                <w:sz w:val="22"/>
                <w:szCs w:val="22"/>
              </w:rPr>
              <w:t>Research:</w:t>
            </w:r>
            <w:r w:rsidRPr="0072194C">
              <w:rPr>
                <w:rFonts w:ascii="Calibri" w:hAnsi="Calibri" w:cs="Times New Roman"/>
                <w:sz w:val="22"/>
                <w:szCs w:val="22"/>
              </w:rPr>
              <w:t xml:space="preserve"> To demonstrate a proven ability and track record of engagement in research relating to the </w:t>
            </w:r>
            <w:r w:rsidR="00363890" w:rsidRPr="0072194C">
              <w:rPr>
                <w:rFonts w:ascii="Calibri" w:hAnsi="Calibri" w:cs="Times New Roman"/>
                <w:sz w:val="22"/>
                <w:szCs w:val="22"/>
              </w:rPr>
              <w:t>specialty</w:t>
            </w:r>
            <w:r w:rsidRPr="0072194C">
              <w:rPr>
                <w:rFonts w:ascii="Calibri" w:hAnsi="Calibri" w:cs="Times New Roman"/>
                <w:sz w:val="22"/>
                <w:szCs w:val="22"/>
              </w:rPr>
              <w:t>.</w:t>
            </w:r>
          </w:p>
          <w:p w14:paraId="4EF0ACFB" w14:textId="77777777" w:rsidR="003D46B4" w:rsidRPr="0072194C" w:rsidRDefault="003D46B4" w:rsidP="003D46B4">
            <w:pPr>
              <w:pStyle w:val="BodyText2"/>
              <w:spacing w:after="10" w:line="240" w:lineRule="atLeast"/>
              <w:rPr>
                <w:rFonts w:ascii="Calibri" w:hAnsi="Calibri" w:cs="Times New Roman"/>
                <w:sz w:val="22"/>
                <w:szCs w:val="22"/>
              </w:rPr>
            </w:pPr>
          </w:p>
          <w:p w14:paraId="0228F473" w14:textId="77777777" w:rsidR="003D46B4" w:rsidRPr="0072194C" w:rsidRDefault="003D46B4" w:rsidP="003D46B4">
            <w:pPr>
              <w:pStyle w:val="BodyText2"/>
              <w:spacing w:after="10" w:line="240" w:lineRule="atLeast"/>
              <w:rPr>
                <w:rFonts w:ascii="Calibri" w:hAnsi="Calibri" w:cs="Times New Roman"/>
                <w:sz w:val="22"/>
                <w:szCs w:val="22"/>
              </w:rPr>
            </w:pPr>
            <w:r w:rsidRPr="00AA280D">
              <w:rPr>
                <w:rFonts w:ascii="Calibri" w:hAnsi="Calibri" w:cs="Times New Roman"/>
                <w:b/>
                <w:sz w:val="22"/>
                <w:szCs w:val="22"/>
              </w:rPr>
              <w:t>Continuing Education:</w:t>
            </w:r>
            <w:r w:rsidRPr="0072194C">
              <w:rPr>
                <w:rFonts w:ascii="Calibri" w:hAnsi="Calibri" w:cs="Times New Roman"/>
                <w:sz w:val="22"/>
                <w:szCs w:val="22"/>
              </w:rPr>
              <w:t xml:space="preserve"> To demonstrate a proven record of undertaking </w:t>
            </w:r>
            <w:r>
              <w:rPr>
                <w:rFonts w:ascii="Calibri" w:hAnsi="Calibri" w:cs="Times New Roman"/>
                <w:sz w:val="22"/>
                <w:szCs w:val="22"/>
              </w:rPr>
              <w:t xml:space="preserve">continuous professional development and continuous medical education. </w:t>
            </w:r>
          </w:p>
          <w:p w14:paraId="78369C64" w14:textId="77777777" w:rsidR="003D46B4" w:rsidRDefault="003D46B4" w:rsidP="003D46B4">
            <w:pPr>
              <w:jc w:val="both"/>
              <w:rPr>
                <w:rFonts w:ascii="Calibri" w:hAnsi="Calibri" w:cs="Times New Roman"/>
                <w:sz w:val="22"/>
                <w:szCs w:val="22"/>
              </w:rPr>
            </w:pPr>
          </w:p>
          <w:p w14:paraId="621AA682" w14:textId="77777777" w:rsidR="003D46B4" w:rsidRPr="0072194C" w:rsidRDefault="003D46B4" w:rsidP="003D46B4">
            <w:pPr>
              <w:jc w:val="both"/>
              <w:rPr>
                <w:rFonts w:ascii="Calibri" w:hAnsi="Calibri"/>
                <w:sz w:val="22"/>
                <w:szCs w:val="22"/>
              </w:rPr>
            </w:pPr>
            <w:r w:rsidRPr="00AA280D">
              <w:rPr>
                <w:rFonts w:ascii="Calibri" w:hAnsi="Calibri"/>
                <w:b/>
                <w:sz w:val="22"/>
                <w:szCs w:val="22"/>
              </w:rPr>
              <w:t>Audit:</w:t>
            </w:r>
            <w:r w:rsidRPr="0072194C">
              <w:rPr>
                <w:rFonts w:ascii="Calibri" w:hAnsi="Calibri"/>
                <w:sz w:val="22"/>
                <w:szCs w:val="22"/>
              </w:rPr>
              <w:t xml:space="preserve"> Provide evidence of undertaking and initi</w:t>
            </w:r>
            <w:r>
              <w:rPr>
                <w:rFonts w:ascii="Calibri" w:hAnsi="Calibri"/>
                <w:sz w:val="22"/>
                <w:szCs w:val="22"/>
              </w:rPr>
              <w:t>ating audit and quality project</w:t>
            </w:r>
            <w:r w:rsidRPr="0072194C">
              <w:rPr>
                <w:rFonts w:ascii="Calibri" w:hAnsi="Calibri"/>
                <w:sz w:val="22"/>
                <w:szCs w:val="22"/>
              </w:rPr>
              <w:t>s.</w:t>
            </w:r>
          </w:p>
          <w:p w14:paraId="4373FEFC" w14:textId="0282B871" w:rsidR="003D46B4" w:rsidRPr="00AE4B11" w:rsidRDefault="003D46B4" w:rsidP="003D46B4">
            <w:pPr>
              <w:jc w:val="both"/>
              <w:rPr>
                <w:rFonts w:asciiTheme="minorHAnsi" w:hAnsiTheme="minorHAnsi" w:cstheme="minorHAnsi"/>
                <w:bCs/>
                <w:sz w:val="24"/>
                <w:szCs w:val="24"/>
                <w:lang w:val="en-IE"/>
              </w:rPr>
            </w:pPr>
          </w:p>
        </w:tc>
      </w:tr>
      <w:tr w:rsidR="001E0DFF" w:rsidRPr="00C93DD5" w14:paraId="25372BA7" w14:textId="77777777" w:rsidTr="008B0C82">
        <w:tc>
          <w:tcPr>
            <w:tcW w:w="2840" w:type="dxa"/>
          </w:tcPr>
          <w:p w14:paraId="04DDF6B2" w14:textId="77777777" w:rsidR="001E0DFF" w:rsidRDefault="001E0DFF" w:rsidP="008B0C82">
            <w:pPr>
              <w:pStyle w:val="Heading2"/>
              <w:rPr>
                <w:rFonts w:asciiTheme="minorHAnsi" w:hAnsiTheme="minorHAnsi" w:cstheme="minorHAnsi"/>
                <w:i w:val="0"/>
                <w:sz w:val="24"/>
                <w:szCs w:val="24"/>
              </w:rPr>
            </w:pPr>
            <w:r>
              <w:rPr>
                <w:rFonts w:asciiTheme="minorHAnsi" w:hAnsiTheme="minorHAnsi" w:cstheme="minorHAnsi"/>
                <w:i w:val="0"/>
                <w:sz w:val="24"/>
                <w:szCs w:val="24"/>
              </w:rPr>
              <w:t xml:space="preserve">Eligibility Criteria </w:t>
            </w:r>
          </w:p>
        </w:tc>
        <w:tc>
          <w:tcPr>
            <w:tcW w:w="7934" w:type="dxa"/>
          </w:tcPr>
          <w:p w14:paraId="524DBD2A"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b/>
                <w:sz w:val="24"/>
                <w:szCs w:val="24"/>
              </w:rPr>
            </w:pPr>
            <w:r w:rsidRPr="00C93DD5">
              <w:rPr>
                <w:rFonts w:asciiTheme="minorHAnsi" w:hAnsiTheme="minorHAnsi" w:cstheme="minorHAnsi"/>
                <w:b/>
                <w:sz w:val="24"/>
                <w:szCs w:val="24"/>
              </w:rPr>
              <w:t>Essential:</w:t>
            </w:r>
          </w:p>
          <w:p w14:paraId="0B5EDE6F"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sidRPr="00C93DD5">
              <w:rPr>
                <w:rFonts w:asciiTheme="minorHAnsi" w:hAnsiTheme="minorHAnsi" w:cstheme="minorHAnsi"/>
                <w:sz w:val="24"/>
                <w:szCs w:val="24"/>
              </w:rPr>
              <w:t>On the Irish Medical Council Specialist register in Genitourinary Medicine or Infectious Diseases</w:t>
            </w:r>
          </w:p>
          <w:p w14:paraId="51880A8F"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Pr>
                <w:rFonts w:asciiTheme="minorHAnsi" w:hAnsiTheme="minorHAnsi" w:cstheme="minorHAnsi"/>
                <w:sz w:val="24"/>
                <w:szCs w:val="24"/>
              </w:rPr>
              <w:t>Experience in d</w:t>
            </w:r>
            <w:r w:rsidRPr="00C93DD5">
              <w:rPr>
                <w:rFonts w:asciiTheme="minorHAnsi" w:hAnsiTheme="minorHAnsi" w:cstheme="minorHAnsi"/>
                <w:sz w:val="24"/>
                <w:szCs w:val="24"/>
              </w:rPr>
              <w:t xml:space="preserve">elivery of outpatient and inpatient sexual health care </w:t>
            </w:r>
          </w:p>
          <w:p w14:paraId="6B09FFAA"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sidRPr="00C93DD5">
              <w:rPr>
                <w:rFonts w:asciiTheme="minorHAnsi" w:hAnsiTheme="minorHAnsi" w:cstheme="minorHAnsi"/>
                <w:sz w:val="24"/>
                <w:szCs w:val="24"/>
              </w:rPr>
              <w:t>Experience in delivery of inpatient and outpatient HIV care</w:t>
            </w:r>
          </w:p>
          <w:p w14:paraId="79A2164A"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p>
          <w:p w14:paraId="5A3E06B3"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b/>
                <w:sz w:val="24"/>
                <w:szCs w:val="24"/>
              </w:rPr>
            </w:pPr>
            <w:r w:rsidRPr="00C93DD5">
              <w:rPr>
                <w:rFonts w:asciiTheme="minorHAnsi" w:hAnsiTheme="minorHAnsi" w:cstheme="minorHAnsi"/>
                <w:b/>
                <w:sz w:val="24"/>
                <w:szCs w:val="24"/>
              </w:rPr>
              <w:t>Desirable:</w:t>
            </w:r>
          </w:p>
          <w:p w14:paraId="1893D792"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sidRPr="00C93DD5">
              <w:rPr>
                <w:rFonts w:asciiTheme="minorHAnsi" w:hAnsiTheme="minorHAnsi" w:cstheme="minorHAnsi"/>
                <w:sz w:val="24"/>
                <w:szCs w:val="24"/>
              </w:rPr>
              <w:t xml:space="preserve">Diploma in Genitourinary Medicine </w:t>
            </w:r>
          </w:p>
          <w:p w14:paraId="7AC1CE02"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sidRPr="00C93DD5">
              <w:rPr>
                <w:rFonts w:asciiTheme="minorHAnsi" w:hAnsiTheme="minorHAnsi" w:cstheme="minorHAnsi"/>
                <w:sz w:val="24"/>
                <w:szCs w:val="24"/>
              </w:rPr>
              <w:t>Diploma in HIV Medicine</w:t>
            </w:r>
          </w:p>
          <w:p w14:paraId="780917FC" w14:textId="77777777" w:rsidR="001E0DFF" w:rsidRPr="00C93DD5" w:rsidRDefault="001E0DFF" w:rsidP="008B0C82">
            <w:pPr>
              <w:pStyle w:val="TableParagraph"/>
              <w:tabs>
                <w:tab w:val="left" w:pos="163"/>
              </w:tabs>
              <w:spacing w:before="1" w:after="10" w:line="300" w:lineRule="atLeast"/>
              <w:ind w:left="164"/>
              <w:rPr>
                <w:rFonts w:asciiTheme="minorHAnsi" w:hAnsiTheme="minorHAnsi" w:cstheme="minorHAnsi"/>
                <w:sz w:val="24"/>
                <w:szCs w:val="24"/>
              </w:rPr>
            </w:pPr>
            <w:r w:rsidRPr="00C93DD5">
              <w:rPr>
                <w:rFonts w:asciiTheme="minorHAnsi" w:hAnsiTheme="minorHAnsi" w:cstheme="minorHAnsi"/>
                <w:sz w:val="24"/>
                <w:szCs w:val="24"/>
              </w:rPr>
              <w:t>Experience in HIV or Sexual Health research – MD or PhD</w:t>
            </w:r>
          </w:p>
          <w:p w14:paraId="0FEA2918" w14:textId="77777777" w:rsidR="001E0DFF" w:rsidRPr="00C93DD5" w:rsidRDefault="001E0DFF" w:rsidP="008B0C82">
            <w:pPr>
              <w:pStyle w:val="TableParagraph"/>
              <w:tabs>
                <w:tab w:val="left" w:pos="163"/>
              </w:tabs>
              <w:spacing w:before="1" w:line="203" w:lineRule="exact"/>
              <w:ind w:left="162"/>
              <w:rPr>
                <w:rFonts w:asciiTheme="minorHAnsi" w:hAnsiTheme="minorHAnsi" w:cstheme="minorHAnsi"/>
                <w:b/>
                <w:sz w:val="24"/>
                <w:szCs w:val="24"/>
              </w:rPr>
            </w:pPr>
          </w:p>
        </w:tc>
      </w:tr>
      <w:tr w:rsidR="00DB10E4" w:rsidRPr="00AE4B11" w14:paraId="3CD8296E" w14:textId="77777777" w:rsidTr="00DB10E4">
        <w:trPr>
          <w:trHeight w:val="245"/>
        </w:trPr>
        <w:tc>
          <w:tcPr>
            <w:tcW w:w="2840" w:type="dxa"/>
          </w:tcPr>
          <w:p w14:paraId="098275EE" w14:textId="629BEC43" w:rsidR="00DB10E4" w:rsidRPr="00AE4B11" w:rsidRDefault="00DB10E4" w:rsidP="00DB10E4">
            <w:pPr>
              <w:pStyle w:val="Heading2"/>
              <w:rPr>
                <w:rFonts w:asciiTheme="minorHAnsi" w:hAnsiTheme="minorHAnsi" w:cstheme="minorHAnsi"/>
                <w:i w:val="0"/>
                <w:sz w:val="24"/>
                <w:szCs w:val="24"/>
              </w:rPr>
            </w:pPr>
            <w:r w:rsidRPr="006D6133">
              <w:rPr>
                <w:rFonts w:asciiTheme="minorHAnsi" w:hAnsiTheme="minorHAnsi"/>
                <w:i w:val="0"/>
                <w:sz w:val="22"/>
                <w:szCs w:val="22"/>
              </w:rPr>
              <w:t>Informal enquiries</w:t>
            </w:r>
          </w:p>
        </w:tc>
        <w:tc>
          <w:tcPr>
            <w:tcW w:w="7934" w:type="dxa"/>
          </w:tcPr>
          <w:p w14:paraId="3A659F74" w14:textId="77777777" w:rsidR="00DB10E4" w:rsidRDefault="00DB10E4" w:rsidP="00DB10E4">
            <w:pPr>
              <w:jc w:val="both"/>
              <w:rPr>
                <w:rFonts w:asciiTheme="minorHAnsi" w:hAnsiTheme="minorHAnsi" w:cs="Arial"/>
                <w:sz w:val="22"/>
                <w:szCs w:val="22"/>
              </w:rPr>
            </w:pPr>
            <w:r w:rsidRPr="006D6133">
              <w:rPr>
                <w:rFonts w:asciiTheme="minorHAnsi" w:hAnsiTheme="minorHAnsi" w:cs="Arial"/>
                <w:sz w:val="22"/>
                <w:szCs w:val="22"/>
              </w:rPr>
              <w:t xml:space="preserve">Informal enquiries:  </w:t>
            </w:r>
          </w:p>
          <w:p w14:paraId="1C776339" w14:textId="300B3E66" w:rsidR="00DB10E4" w:rsidRDefault="00DB10E4" w:rsidP="00DB10E4">
            <w:pPr>
              <w:jc w:val="both"/>
              <w:rPr>
                <w:rFonts w:asciiTheme="minorHAnsi" w:hAnsiTheme="minorHAnsi" w:cs="Arial"/>
                <w:sz w:val="22"/>
                <w:szCs w:val="22"/>
              </w:rPr>
            </w:pPr>
            <w:r w:rsidRPr="006D6133">
              <w:rPr>
                <w:rFonts w:asciiTheme="minorHAnsi" w:hAnsiTheme="minorHAnsi" w:cs="Arial"/>
                <w:sz w:val="22"/>
                <w:szCs w:val="22"/>
              </w:rPr>
              <w:t xml:space="preserve">Dr. </w:t>
            </w:r>
            <w:r>
              <w:rPr>
                <w:rFonts w:asciiTheme="minorHAnsi" w:hAnsiTheme="minorHAnsi" w:cs="Arial"/>
                <w:sz w:val="22"/>
                <w:szCs w:val="22"/>
              </w:rPr>
              <w:t xml:space="preserve">Emma Devitt Consultant in Genitourinary Medicine GUIDE clinic St James’s Hospital </w:t>
            </w:r>
            <w:hyperlink w:history="1">
              <w:r w:rsidRPr="00FE4EF7">
                <w:rPr>
                  <w:rStyle w:val="Hyperlink"/>
                  <w:rFonts w:asciiTheme="minorHAnsi" w:hAnsiTheme="minorHAnsi" w:cs="Arial"/>
                  <w:sz w:val="22"/>
                  <w:szCs w:val="22"/>
                </w:rPr>
                <w:t>emdevitt@stjames.ie</w:t>
              </w:r>
            </w:hyperlink>
            <w:r>
              <w:rPr>
                <w:rFonts w:asciiTheme="minorHAnsi" w:hAnsiTheme="minorHAnsi" w:cs="Arial"/>
                <w:sz w:val="22"/>
                <w:szCs w:val="22"/>
              </w:rPr>
              <w:t xml:space="preserve"> or Dr Grainne Courtney Consultant in Genitourinary medicine GUIDE Clinic / GHMS </w:t>
            </w:r>
            <w:hyperlink w:history="1">
              <w:r w:rsidRPr="001179E4">
                <w:rPr>
                  <w:rStyle w:val="Hyperlink"/>
                  <w:rFonts w:asciiTheme="minorHAnsi" w:hAnsiTheme="minorHAnsi" w:cs="Arial"/>
                  <w:sz w:val="22"/>
                  <w:szCs w:val="22"/>
                </w:rPr>
                <w:t>gcourtney@stjames.ie</w:t>
              </w:r>
            </w:hyperlink>
          </w:p>
          <w:p w14:paraId="6CF2E215" w14:textId="615F34BF" w:rsidR="00DB10E4" w:rsidRPr="00AE4B11" w:rsidRDefault="00DB10E4" w:rsidP="00DB10E4">
            <w:pPr>
              <w:jc w:val="both"/>
              <w:rPr>
                <w:rFonts w:asciiTheme="minorHAnsi" w:hAnsiTheme="minorHAnsi" w:cstheme="minorHAnsi"/>
                <w:sz w:val="24"/>
                <w:szCs w:val="24"/>
              </w:rPr>
            </w:pPr>
          </w:p>
        </w:tc>
      </w:tr>
      <w:tr w:rsidR="00DB10E4" w:rsidRPr="00AE4B11" w14:paraId="6809E2F3" w14:textId="77777777" w:rsidTr="00DB10E4">
        <w:trPr>
          <w:trHeight w:val="245"/>
        </w:trPr>
        <w:tc>
          <w:tcPr>
            <w:tcW w:w="2840" w:type="dxa"/>
          </w:tcPr>
          <w:p w14:paraId="177CA023" w14:textId="3D172A44" w:rsidR="00DB10E4" w:rsidRPr="00AE4B11" w:rsidRDefault="00DB10E4" w:rsidP="00DB10E4">
            <w:pPr>
              <w:pStyle w:val="Heading2"/>
              <w:rPr>
                <w:rFonts w:asciiTheme="minorHAnsi" w:hAnsiTheme="minorHAnsi" w:cstheme="minorHAnsi"/>
                <w:i w:val="0"/>
                <w:sz w:val="24"/>
                <w:szCs w:val="24"/>
              </w:rPr>
            </w:pPr>
            <w:r w:rsidRPr="00AE4B11">
              <w:rPr>
                <w:rFonts w:asciiTheme="minorHAnsi" w:hAnsiTheme="minorHAnsi" w:cstheme="minorHAnsi"/>
                <w:i w:val="0"/>
                <w:sz w:val="24"/>
                <w:szCs w:val="24"/>
              </w:rPr>
              <w:t>Closing Date:</w:t>
            </w:r>
          </w:p>
        </w:tc>
        <w:tc>
          <w:tcPr>
            <w:tcW w:w="7934" w:type="dxa"/>
          </w:tcPr>
          <w:p w14:paraId="23180AED" w14:textId="631E4A45" w:rsidR="00DB10E4" w:rsidRPr="00AE4B11" w:rsidRDefault="00DB10E4" w:rsidP="00DB10E4">
            <w:pPr>
              <w:jc w:val="both"/>
              <w:rPr>
                <w:rFonts w:asciiTheme="minorHAnsi" w:hAnsiTheme="minorHAnsi" w:cstheme="minorHAnsi"/>
                <w:sz w:val="24"/>
                <w:szCs w:val="24"/>
              </w:rPr>
            </w:pPr>
          </w:p>
          <w:p w14:paraId="6C67E004" w14:textId="24426EBD" w:rsidR="00DB10E4" w:rsidRPr="00AE4B11" w:rsidRDefault="00496F80" w:rsidP="00496F80">
            <w:pPr>
              <w:jc w:val="both"/>
              <w:rPr>
                <w:rFonts w:asciiTheme="minorHAnsi" w:hAnsiTheme="minorHAnsi" w:cstheme="minorHAnsi"/>
                <w:sz w:val="24"/>
                <w:szCs w:val="24"/>
              </w:rPr>
            </w:pPr>
            <w:r>
              <w:rPr>
                <w:rFonts w:asciiTheme="minorHAnsi" w:hAnsiTheme="minorHAnsi" w:cstheme="minorHAnsi"/>
                <w:sz w:val="24"/>
                <w:szCs w:val="24"/>
              </w:rPr>
              <w:t>2</w:t>
            </w:r>
            <w:r w:rsidRPr="00496F80">
              <w:rPr>
                <w:rFonts w:asciiTheme="minorHAnsi" w:hAnsiTheme="minorHAnsi" w:cstheme="minorHAnsi"/>
                <w:sz w:val="24"/>
                <w:szCs w:val="24"/>
                <w:vertAlign w:val="superscript"/>
              </w:rPr>
              <w:t>nd</w:t>
            </w:r>
            <w:r>
              <w:rPr>
                <w:rFonts w:asciiTheme="minorHAnsi" w:hAnsiTheme="minorHAnsi" w:cstheme="minorHAnsi"/>
                <w:sz w:val="24"/>
                <w:szCs w:val="24"/>
              </w:rPr>
              <w:t xml:space="preserve"> February 2025</w:t>
            </w:r>
          </w:p>
        </w:tc>
      </w:tr>
      <w:tr w:rsidR="00DB10E4" w:rsidRPr="00AE4B11" w14:paraId="291644E3" w14:textId="77777777" w:rsidTr="00DB10E4">
        <w:tc>
          <w:tcPr>
            <w:tcW w:w="2840" w:type="dxa"/>
          </w:tcPr>
          <w:p w14:paraId="5E547AE3" w14:textId="77777777" w:rsidR="00DB10E4" w:rsidRPr="00AE4B11" w:rsidRDefault="00DB10E4" w:rsidP="00DB10E4">
            <w:pPr>
              <w:pStyle w:val="BodyText"/>
              <w:rPr>
                <w:rFonts w:asciiTheme="minorHAnsi" w:hAnsiTheme="minorHAnsi" w:cstheme="minorHAnsi"/>
                <w:b/>
                <w:bCs/>
                <w:iCs/>
              </w:rPr>
            </w:pPr>
            <w:r w:rsidRPr="00AE4B11">
              <w:rPr>
                <w:rFonts w:asciiTheme="minorHAnsi" w:hAnsiTheme="minorHAnsi" w:cstheme="minorHAnsi"/>
                <w:b/>
                <w:bCs/>
                <w:iCs/>
              </w:rPr>
              <w:t>Application Procedures</w:t>
            </w:r>
          </w:p>
          <w:p w14:paraId="69FB44E8" w14:textId="77777777" w:rsidR="00DB10E4" w:rsidRPr="00AE4B11" w:rsidRDefault="00DB10E4" w:rsidP="00DB10E4">
            <w:pPr>
              <w:jc w:val="both"/>
              <w:rPr>
                <w:rFonts w:asciiTheme="minorHAnsi" w:hAnsiTheme="minorHAnsi" w:cstheme="minorHAnsi"/>
                <w:b/>
                <w:sz w:val="24"/>
                <w:szCs w:val="24"/>
              </w:rPr>
            </w:pPr>
          </w:p>
        </w:tc>
        <w:tc>
          <w:tcPr>
            <w:tcW w:w="7934" w:type="dxa"/>
          </w:tcPr>
          <w:p w14:paraId="06AEBE9F" w14:textId="78D38CC9" w:rsidR="00496F80" w:rsidRPr="00AE4B11" w:rsidRDefault="00496F80" w:rsidP="00DB10E4">
            <w:pPr>
              <w:rPr>
                <w:rFonts w:asciiTheme="minorHAnsi" w:hAnsiTheme="minorHAnsi" w:cstheme="minorHAnsi"/>
                <w:sz w:val="24"/>
                <w:szCs w:val="24"/>
              </w:rPr>
            </w:pPr>
            <w:r>
              <w:rPr>
                <w:rFonts w:asciiTheme="minorHAnsi" w:hAnsiTheme="minorHAnsi" w:cstheme="minorHAnsi"/>
                <w:sz w:val="24"/>
                <w:szCs w:val="24"/>
              </w:rPr>
              <w:t>Please submit your CV via the electronic recruitment system.</w:t>
            </w:r>
          </w:p>
          <w:p w14:paraId="048CD00D" w14:textId="77777777" w:rsidR="00DB10E4" w:rsidRPr="00AE4B11" w:rsidRDefault="00DB10E4" w:rsidP="00DB10E4">
            <w:pPr>
              <w:rPr>
                <w:rFonts w:asciiTheme="minorHAnsi" w:hAnsiTheme="minorHAnsi" w:cstheme="minorHAnsi"/>
                <w:sz w:val="24"/>
                <w:szCs w:val="24"/>
              </w:rPr>
            </w:pPr>
          </w:p>
        </w:tc>
      </w:tr>
    </w:tbl>
    <w:p w14:paraId="565D7ADA" w14:textId="77777777" w:rsidR="00412D1B" w:rsidRPr="009249B7" w:rsidRDefault="00412D1B">
      <w:pPr>
        <w:rPr>
          <w:rFonts w:asciiTheme="minorHAnsi" w:hAnsiTheme="minorHAnsi"/>
          <w:sz w:val="22"/>
          <w:szCs w:val="22"/>
        </w:rPr>
      </w:pPr>
    </w:p>
    <w:p w14:paraId="5B3ED47C" w14:textId="77777777" w:rsidR="00341F37" w:rsidRDefault="00341F37"/>
    <w:sectPr w:rsidR="00341F37" w:rsidSect="009C4706">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1F1"/>
    <w:multiLevelType w:val="hybridMultilevel"/>
    <w:tmpl w:val="EB663CA6"/>
    <w:lvl w:ilvl="0" w:tplc="0409000F">
      <w:start w:val="1"/>
      <w:numFmt w:val="decimal"/>
      <w:lvlText w:val="%1."/>
      <w:lvlJc w:val="left"/>
      <w:pPr>
        <w:tabs>
          <w:tab w:val="num" w:pos="360"/>
        </w:tabs>
        <w:ind w:left="360" w:hanging="360"/>
      </w:pPr>
    </w:lvl>
    <w:lvl w:ilvl="1" w:tplc="2ADC939C">
      <w:start w:val="8"/>
      <w:numFmt w:val="lowerLetter"/>
      <w:lvlText w:val="%2)"/>
      <w:lvlJc w:val="left"/>
      <w:pPr>
        <w:tabs>
          <w:tab w:val="num" w:pos="1080"/>
        </w:tabs>
        <w:ind w:left="1080" w:hanging="360"/>
      </w:pPr>
      <w:rPr>
        <w:rFonts w:hint="default"/>
      </w:rPr>
    </w:lvl>
    <w:lvl w:ilvl="2" w:tplc="35986120">
      <w:start w:val="6"/>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3E30D4E"/>
    <w:multiLevelType w:val="singleLevel"/>
    <w:tmpl w:val="08090019"/>
    <w:lvl w:ilvl="0">
      <w:start w:val="1"/>
      <w:numFmt w:val="lowerLetter"/>
      <w:lvlText w:val="(%1)"/>
      <w:lvlJc w:val="left"/>
      <w:pPr>
        <w:tabs>
          <w:tab w:val="num" w:pos="360"/>
        </w:tabs>
        <w:ind w:left="360" w:hanging="360"/>
      </w:pPr>
    </w:lvl>
  </w:abstractNum>
  <w:abstractNum w:abstractNumId="2" w15:restartNumberingAfterBreak="0">
    <w:nsid w:val="782739EE"/>
    <w:multiLevelType w:val="hybridMultilevel"/>
    <w:tmpl w:val="5F0A7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1B"/>
    <w:rsid w:val="00000A77"/>
    <w:rsid w:val="00004D3D"/>
    <w:rsid w:val="00033572"/>
    <w:rsid w:val="00096E18"/>
    <w:rsid w:val="001A6477"/>
    <w:rsid w:val="001A72E3"/>
    <w:rsid w:val="001B49BF"/>
    <w:rsid w:val="001E0331"/>
    <w:rsid w:val="001E096C"/>
    <w:rsid w:val="001E0DFF"/>
    <w:rsid w:val="002428BF"/>
    <w:rsid w:val="00275100"/>
    <w:rsid w:val="002838A6"/>
    <w:rsid w:val="00284696"/>
    <w:rsid w:val="002C3B4F"/>
    <w:rsid w:val="003007DF"/>
    <w:rsid w:val="00341F37"/>
    <w:rsid w:val="00357C61"/>
    <w:rsid w:val="00363890"/>
    <w:rsid w:val="0039163E"/>
    <w:rsid w:val="003C63D7"/>
    <w:rsid w:val="003D46B4"/>
    <w:rsid w:val="003F20B5"/>
    <w:rsid w:val="00404F07"/>
    <w:rsid w:val="00412D1B"/>
    <w:rsid w:val="00496F80"/>
    <w:rsid w:val="005046D7"/>
    <w:rsid w:val="00580B7D"/>
    <w:rsid w:val="005A2153"/>
    <w:rsid w:val="005A42B0"/>
    <w:rsid w:val="0067147C"/>
    <w:rsid w:val="006C1EAA"/>
    <w:rsid w:val="006D6133"/>
    <w:rsid w:val="00711314"/>
    <w:rsid w:val="00733D9B"/>
    <w:rsid w:val="007726E1"/>
    <w:rsid w:val="00775989"/>
    <w:rsid w:val="00791E25"/>
    <w:rsid w:val="008A0529"/>
    <w:rsid w:val="008F06A1"/>
    <w:rsid w:val="009249B7"/>
    <w:rsid w:val="009A5BFE"/>
    <w:rsid w:val="009C4706"/>
    <w:rsid w:val="009E235D"/>
    <w:rsid w:val="00A27856"/>
    <w:rsid w:val="00A517E4"/>
    <w:rsid w:val="00AA27D5"/>
    <w:rsid w:val="00AA7F79"/>
    <w:rsid w:val="00AE1CEB"/>
    <w:rsid w:val="00AE4B11"/>
    <w:rsid w:val="00B94242"/>
    <w:rsid w:val="00BA4447"/>
    <w:rsid w:val="00BB1DEA"/>
    <w:rsid w:val="00BC55ED"/>
    <w:rsid w:val="00BD2715"/>
    <w:rsid w:val="00C91A53"/>
    <w:rsid w:val="00D257E5"/>
    <w:rsid w:val="00D36997"/>
    <w:rsid w:val="00DB10E4"/>
    <w:rsid w:val="00DB373F"/>
    <w:rsid w:val="00DC1184"/>
    <w:rsid w:val="00DC6F8A"/>
    <w:rsid w:val="00DE5154"/>
    <w:rsid w:val="00E9641B"/>
    <w:rsid w:val="00EE61E0"/>
    <w:rsid w:val="00F40247"/>
    <w:rsid w:val="00FA67E3"/>
    <w:rsid w:val="00FA6A24"/>
    <w:rsid w:val="00FD179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ECFE1"/>
  <w15:docId w15:val="{C16BADC6-6A3D-4E5D-863A-DEB7257D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1B"/>
    <w:pPr>
      <w:widowControl w:val="0"/>
      <w:autoSpaceDE w:val="0"/>
      <w:autoSpaceDN w:val="0"/>
      <w:spacing w:after="0" w:line="240" w:lineRule="auto"/>
    </w:pPr>
    <w:rPr>
      <w:rFonts w:ascii="Courier" w:eastAsia="Times New Roman" w:hAnsi="Courier" w:cs="Courier"/>
      <w:sz w:val="20"/>
      <w:szCs w:val="20"/>
      <w:lang w:val="en-US" w:eastAsia="en-GB"/>
    </w:rPr>
  </w:style>
  <w:style w:type="paragraph" w:styleId="Heading2">
    <w:name w:val="heading 2"/>
    <w:basedOn w:val="Normal"/>
    <w:next w:val="Normal"/>
    <w:link w:val="Heading2Char"/>
    <w:qFormat/>
    <w:rsid w:val="00412D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1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12D1B"/>
    <w:pPr>
      <w:keepNext/>
      <w:widowControl/>
      <w:autoSpaceDE/>
      <w:autoSpaceDN/>
      <w:spacing w:before="240" w:after="60"/>
      <w:outlineLvl w:val="3"/>
    </w:pPr>
    <w:rPr>
      <w:rFonts w:ascii="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2D1B"/>
    <w:rPr>
      <w:rFonts w:ascii="Arial" w:eastAsia="Times New Roman" w:hAnsi="Arial" w:cs="Arial"/>
      <w:b/>
      <w:bCs/>
      <w:i/>
      <w:iCs/>
      <w:sz w:val="28"/>
      <w:szCs w:val="28"/>
      <w:lang w:val="en-US" w:eastAsia="en-GB"/>
    </w:rPr>
  </w:style>
  <w:style w:type="character" w:customStyle="1" w:styleId="Heading3Char">
    <w:name w:val="Heading 3 Char"/>
    <w:basedOn w:val="DefaultParagraphFont"/>
    <w:link w:val="Heading3"/>
    <w:rsid w:val="00412D1B"/>
    <w:rPr>
      <w:rFonts w:ascii="Arial" w:eastAsia="Times New Roman" w:hAnsi="Arial" w:cs="Arial"/>
      <w:b/>
      <w:bCs/>
      <w:sz w:val="26"/>
      <w:szCs w:val="26"/>
      <w:lang w:val="en-US" w:eastAsia="en-GB"/>
    </w:rPr>
  </w:style>
  <w:style w:type="paragraph" w:styleId="Header">
    <w:name w:val="header"/>
    <w:basedOn w:val="Normal"/>
    <w:link w:val="HeaderChar"/>
    <w:rsid w:val="00412D1B"/>
    <w:pPr>
      <w:tabs>
        <w:tab w:val="center" w:pos="4153"/>
        <w:tab w:val="right" w:pos="8306"/>
      </w:tabs>
    </w:pPr>
  </w:style>
  <w:style w:type="character" w:customStyle="1" w:styleId="HeaderChar">
    <w:name w:val="Header Char"/>
    <w:basedOn w:val="DefaultParagraphFont"/>
    <w:link w:val="Header"/>
    <w:rsid w:val="00412D1B"/>
    <w:rPr>
      <w:rFonts w:ascii="Courier" w:eastAsia="Times New Roman" w:hAnsi="Courier" w:cs="Courier"/>
      <w:sz w:val="20"/>
      <w:szCs w:val="20"/>
      <w:lang w:val="en-US" w:eastAsia="en-GB"/>
    </w:rPr>
  </w:style>
  <w:style w:type="paragraph" w:styleId="BodyText">
    <w:name w:val="Body Text"/>
    <w:basedOn w:val="Normal"/>
    <w:link w:val="BodyTextChar"/>
    <w:rsid w:val="00412D1B"/>
    <w:pPr>
      <w:widowControl/>
      <w:autoSpaceDE/>
      <w:autoSpaceDN/>
      <w:jc w:val="both"/>
    </w:pPr>
    <w:rPr>
      <w:rFonts w:ascii="Times New Roman" w:hAnsi="Times New Roman" w:cs="Times New Roman"/>
      <w:sz w:val="24"/>
      <w:szCs w:val="24"/>
      <w:lang w:val="en-GB" w:eastAsia="en-US"/>
    </w:rPr>
  </w:style>
  <w:style w:type="character" w:customStyle="1" w:styleId="BodyTextChar">
    <w:name w:val="Body Text Char"/>
    <w:basedOn w:val="DefaultParagraphFont"/>
    <w:link w:val="BodyText"/>
    <w:rsid w:val="00412D1B"/>
    <w:rPr>
      <w:rFonts w:ascii="Times New Roman" w:eastAsia="Times New Roman" w:hAnsi="Times New Roman" w:cs="Times New Roman"/>
      <w:sz w:val="24"/>
      <w:szCs w:val="24"/>
      <w:lang w:val="en-GB"/>
    </w:rPr>
  </w:style>
  <w:style w:type="character" w:styleId="Hyperlink">
    <w:name w:val="Hyperlink"/>
    <w:rsid w:val="00412D1B"/>
    <w:rPr>
      <w:color w:val="0000FF"/>
      <w:u w:val="single"/>
    </w:rPr>
  </w:style>
  <w:style w:type="character" w:customStyle="1" w:styleId="Heading4Char">
    <w:name w:val="Heading 4 Char"/>
    <w:basedOn w:val="DefaultParagraphFont"/>
    <w:link w:val="Heading4"/>
    <w:rsid w:val="00412D1B"/>
    <w:rPr>
      <w:rFonts w:ascii="Times New Roman" w:eastAsia="Times New Roman" w:hAnsi="Times New Roman" w:cs="Times New Roman"/>
      <w:b/>
      <w:bCs/>
      <w:sz w:val="28"/>
      <w:szCs w:val="28"/>
      <w:lang w:val="en-GB" w:eastAsia="en-GB"/>
    </w:rPr>
  </w:style>
  <w:style w:type="paragraph" w:customStyle="1" w:styleId="DefaultText">
    <w:name w:val="Default Text"/>
    <w:basedOn w:val="Normal"/>
    <w:rsid w:val="00412D1B"/>
    <w:pPr>
      <w:widowControl/>
      <w:autoSpaceDE/>
      <w:autoSpaceDN/>
      <w:jc w:val="both"/>
    </w:pPr>
    <w:rPr>
      <w:rFonts w:ascii="Times New Roman" w:hAnsi="Times New Roman" w:cs="Times New Roman"/>
      <w:sz w:val="24"/>
      <w:lang w:eastAsia="en-US"/>
    </w:rPr>
  </w:style>
  <w:style w:type="paragraph" w:styleId="BalloonText">
    <w:name w:val="Balloon Text"/>
    <w:basedOn w:val="Normal"/>
    <w:link w:val="BalloonTextChar"/>
    <w:uiPriority w:val="99"/>
    <w:semiHidden/>
    <w:unhideWhenUsed/>
    <w:rsid w:val="002C3B4F"/>
    <w:rPr>
      <w:rFonts w:ascii="Tahoma" w:hAnsi="Tahoma" w:cs="Tahoma"/>
      <w:sz w:val="16"/>
      <w:szCs w:val="16"/>
    </w:rPr>
  </w:style>
  <w:style w:type="character" w:customStyle="1" w:styleId="BalloonTextChar">
    <w:name w:val="Balloon Text Char"/>
    <w:basedOn w:val="DefaultParagraphFont"/>
    <w:link w:val="BalloonText"/>
    <w:uiPriority w:val="99"/>
    <w:semiHidden/>
    <w:rsid w:val="002C3B4F"/>
    <w:rPr>
      <w:rFonts w:ascii="Tahoma" w:eastAsia="Times New Roman" w:hAnsi="Tahoma" w:cs="Tahoma"/>
      <w:sz w:val="16"/>
      <w:szCs w:val="16"/>
      <w:lang w:val="en-US" w:eastAsia="en-GB"/>
    </w:rPr>
  </w:style>
  <w:style w:type="character" w:styleId="CommentReference">
    <w:name w:val="annotation reference"/>
    <w:basedOn w:val="DefaultParagraphFont"/>
    <w:uiPriority w:val="99"/>
    <w:semiHidden/>
    <w:unhideWhenUsed/>
    <w:rsid w:val="008F06A1"/>
    <w:rPr>
      <w:sz w:val="16"/>
      <w:szCs w:val="16"/>
    </w:rPr>
  </w:style>
  <w:style w:type="paragraph" w:styleId="CommentText">
    <w:name w:val="annotation text"/>
    <w:basedOn w:val="Normal"/>
    <w:link w:val="CommentTextChar"/>
    <w:uiPriority w:val="99"/>
    <w:semiHidden/>
    <w:unhideWhenUsed/>
    <w:rsid w:val="008F06A1"/>
  </w:style>
  <w:style w:type="character" w:customStyle="1" w:styleId="CommentTextChar">
    <w:name w:val="Comment Text Char"/>
    <w:basedOn w:val="DefaultParagraphFont"/>
    <w:link w:val="CommentText"/>
    <w:uiPriority w:val="99"/>
    <w:semiHidden/>
    <w:rsid w:val="008F06A1"/>
    <w:rPr>
      <w:rFonts w:ascii="Courier" w:eastAsia="Times New Roman" w:hAnsi="Courier" w:cs="Courier"/>
      <w:sz w:val="20"/>
      <w:szCs w:val="20"/>
      <w:lang w:val="en-US" w:eastAsia="en-GB"/>
    </w:rPr>
  </w:style>
  <w:style w:type="paragraph" w:styleId="CommentSubject">
    <w:name w:val="annotation subject"/>
    <w:basedOn w:val="CommentText"/>
    <w:next w:val="CommentText"/>
    <w:link w:val="CommentSubjectChar"/>
    <w:uiPriority w:val="99"/>
    <w:semiHidden/>
    <w:unhideWhenUsed/>
    <w:rsid w:val="008F06A1"/>
    <w:rPr>
      <w:b/>
      <w:bCs/>
    </w:rPr>
  </w:style>
  <w:style w:type="character" w:customStyle="1" w:styleId="CommentSubjectChar">
    <w:name w:val="Comment Subject Char"/>
    <w:basedOn w:val="CommentTextChar"/>
    <w:link w:val="CommentSubject"/>
    <w:uiPriority w:val="99"/>
    <w:semiHidden/>
    <w:rsid w:val="008F06A1"/>
    <w:rPr>
      <w:rFonts w:ascii="Courier" w:eastAsia="Times New Roman" w:hAnsi="Courier" w:cs="Courier"/>
      <w:b/>
      <w:bCs/>
      <w:sz w:val="20"/>
      <w:szCs w:val="20"/>
      <w:lang w:val="en-US" w:eastAsia="en-GB"/>
    </w:rPr>
  </w:style>
  <w:style w:type="character" w:styleId="FollowedHyperlink">
    <w:name w:val="FollowedHyperlink"/>
    <w:basedOn w:val="DefaultParagraphFont"/>
    <w:uiPriority w:val="99"/>
    <w:semiHidden/>
    <w:unhideWhenUsed/>
    <w:rsid w:val="00096E18"/>
    <w:rPr>
      <w:color w:val="800080" w:themeColor="followedHyperlink"/>
      <w:u w:val="single"/>
    </w:rPr>
  </w:style>
  <w:style w:type="paragraph" w:customStyle="1" w:styleId="TableParagraph">
    <w:name w:val="Table Paragraph"/>
    <w:basedOn w:val="Normal"/>
    <w:uiPriority w:val="1"/>
    <w:qFormat/>
    <w:rsid w:val="00AE4B11"/>
    <w:pPr>
      <w:spacing w:before="147"/>
      <w:ind w:left="40"/>
    </w:pPr>
    <w:rPr>
      <w:rFonts w:ascii="Arial" w:eastAsia="Arial" w:hAnsi="Arial" w:cs="Arial"/>
      <w:sz w:val="22"/>
      <w:szCs w:val="22"/>
      <w:lang w:eastAsia="en-US"/>
    </w:rPr>
  </w:style>
  <w:style w:type="paragraph" w:styleId="ListParagraph">
    <w:name w:val="List Paragraph"/>
    <w:basedOn w:val="Normal"/>
    <w:uiPriority w:val="34"/>
    <w:qFormat/>
    <w:rsid w:val="005A42B0"/>
    <w:pPr>
      <w:ind w:left="720"/>
      <w:contextualSpacing/>
    </w:pPr>
  </w:style>
  <w:style w:type="character" w:styleId="UnresolvedMention">
    <w:name w:val="Unresolved Mention"/>
    <w:basedOn w:val="DefaultParagraphFont"/>
    <w:uiPriority w:val="99"/>
    <w:semiHidden/>
    <w:unhideWhenUsed/>
    <w:rsid w:val="005A42B0"/>
    <w:rPr>
      <w:color w:val="605E5C"/>
      <w:shd w:val="clear" w:color="auto" w:fill="E1DFDD"/>
    </w:rPr>
  </w:style>
  <w:style w:type="paragraph" w:styleId="BodyText2">
    <w:name w:val="Body Text 2"/>
    <w:basedOn w:val="Normal"/>
    <w:link w:val="BodyText2Char"/>
    <w:uiPriority w:val="99"/>
    <w:semiHidden/>
    <w:unhideWhenUsed/>
    <w:rsid w:val="003D46B4"/>
    <w:pPr>
      <w:spacing w:after="120" w:line="480" w:lineRule="auto"/>
    </w:pPr>
  </w:style>
  <w:style w:type="character" w:customStyle="1" w:styleId="BodyText2Char">
    <w:name w:val="Body Text 2 Char"/>
    <w:basedOn w:val="DefaultParagraphFont"/>
    <w:link w:val="BodyText2"/>
    <w:uiPriority w:val="99"/>
    <w:semiHidden/>
    <w:rsid w:val="003D46B4"/>
    <w:rPr>
      <w:rFonts w:ascii="Courier" w:eastAsia="Times New Roman" w:hAnsi="Courier" w:cs="Courie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James's Hospital</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Fiona (GUIDE)</dc:creator>
  <cp:lastModifiedBy>Hennessy, James (HRM)</cp:lastModifiedBy>
  <cp:revision>4</cp:revision>
  <cp:lastPrinted>2018-04-27T16:02:00Z</cp:lastPrinted>
  <dcterms:created xsi:type="dcterms:W3CDTF">2025-01-11T15:12:00Z</dcterms:created>
  <dcterms:modified xsi:type="dcterms:W3CDTF">2025-01-11T15:18:00Z</dcterms:modified>
</cp:coreProperties>
</file>